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C21F3">
      <w:pPr>
        <w:spacing w:line="360" w:lineRule="auto"/>
        <w:jc w:val="center"/>
        <w:rPr>
          <w:rFonts w:hint="eastAsia" w:ascii="小标宋" w:hAnsi="小标宋" w:eastAsia="小标宋" w:cs="小标宋"/>
          <w:bCs/>
          <w:color w:val="000000" w:themeColor="text1"/>
          <w:kern w:val="0"/>
          <w:sz w:val="32"/>
          <w:szCs w:val="32"/>
        </w:rPr>
      </w:pPr>
      <w:r>
        <w:rPr>
          <w:rFonts w:hint="eastAsia" w:ascii="小标宋" w:hAnsi="小标宋" w:eastAsia="小标宋" w:cs="小标宋"/>
          <w:bCs/>
          <w:color w:val="000000" w:themeColor="text1"/>
          <w:kern w:val="0"/>
          <w:sz w:val="32"/>
          <w:szCs w:val="32"/>
        </w:rPr>
        <w:t>北航校医院全流程智能标本备管设备采购项目</w:t>
      </w:r>
    </w:p>
    <w:p w14:paraId="454138AE">
      <w:pPr>
        <w:spacing w:line="360" w:lineRule="auto"/>
        <w:jc w:val="center"/>
        <w:rPr>
          <w:rFonts w:ascii="小标宋" w:hAnsi="小标宋" w:eastAsia="小标宋" w:cs="小标宋"/>
          <w:bCs/>
          <w:color w:val="000000" w:themeColor="text1"/>
          <w:kern w:val="0"/>
          <w:sz w:val="32"/>
          <w:szCs w:val="32"/>
        </w:rPr>
      </w:pPr>
      <w:r>
        <w:rPr>
          <w:rFonts w:hint="eastAsia" w:ascii="小标宋" w:hAnsi="小标宋" w:eastAsia="小标宋" w:cs="小标宋"/>
          <w:bCs/>
          <w:color w:val="000000" w:themeColor="text1"/>
          <w:kern w:val="0"/>
          <w:sz w:val="32"/>
          <w:szCs w:val="32"/>
        </w:rPr>
        <w:t>竞价采购需求文件</w:t>
      </w:r>
    </w:p>
    <w:p w14:paraId="77F55AAC">
      <w:pPr>
        <w:snapToGrid w:val="0"/>
        <w:spacing w:line="520" w:lineRule="exact"/>
        <w:ind w:firstLine="480" w:firstLineChars="200"/>
        <w:rPr>
          <w:rFonts w:ascii="仿宋_GB2312" w:hAnsi="仿宋_GB2312" w:eastAsia="仿宋_GB2312" w:cs="仿宋_GB2312"/>
          <w:b/>
          <w:color w:val="000000" w:themeColor="text1"/>
          <w:kern w:val="0"/>
          <w:sz w:val="28"/>
          <w:szCs w:val="28"/>
        </w:rPr>
      </w:pPr>
      <w:r>
        <w:rPr>
          <w:rFonts w:hint="eastAsia" w:ascii="仿宋_GB2312" w:hAnsi="仿宋_GB2312" w:eastAsia="仿宋_GB2312" w:cs="仿宋_GB2312"/>
          <w:sz w:val="24"/>
        </w:rPr>
        <w:t>北京航空航天大学校医院</w:t>
      </w:r>
      <w:r>
        <w:rPr>
          <w:rFonts w:hint="eastAsia" w:ascii="仿宋_GB2312" w:hAnsi="仿宋_GB2312" w:eastAsia="仿宋_GB2312" w:cs="仿宋_GB2312"/>
          <w:sz w:val="24"/>
          <w:u w:val="single"/>
        </w:rPr>
        <w:t>全流程智能标本备管设备采购项目</w:t>
      </w:r>
      <w:r>
        <w:rPr>
          <w:rFonts w:hint="eastAsia" w:ascii="仿宋_GB2312" w:hAnsi="仿宋_GB2312" w:eastAsia="仿宋_GB2312" w:cs="仿宋_GB2312"/>
          <w:sz w:val="24"/>
        </w:rPr>
        <w:t>（以下简称“本项目”）已具备采购条件，现邀请有意向且符合条件的供应商参与本项目采购。</w:t>
      </w:r>
    </w:p>
    <w:p w14:paraId="7396DD1B">
      <w:pPr>
        <w:spacing w:line="520" w:lineRule="exact"/>
        <w:ind w:firstLine="482" w:firstLineChars="200"/>
        <w:rPr>
          <w:rFonts w:ascii="黑体" w:hAnsi="黑体" w:eastAsia="黑体" w:cs="黑体"/>
          <w:b/>
          <w:color w:val="000000" w:themeColor="text1"/>
          <w:kern w:val="0"/>
          <w:sz w:val="24"/>
        </w:rPr>
      </w:pPr>
      <w:r>
        <w:rPr>
          <w:rFonts w:hint="eastAsia" w:ascii="黑体" w:hAnsi="黑体" w:eastAsia="黑体" w:cs="黑体"/>
          <w:b/>
          <w:color w:val="000000" w:themeColor="text1"/>
          <w:kern w:val="0"/>
          <w:sz w:val="24"/>
        </w:rPr>
        <w:t>一、采购项目基本情况</w:t>
      </w:r>
    </w:p>
    <w:tbl>
      <w:tblPr>
        <w:tblStyle w:val="15"/>
        <w:tblW w:w="6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11"/>
        <w:gridCol w:w="6497"/>
      </w:tblGrid>
      <w:tr w14:paraId="3DE3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79" w:type="pct"/>
            <w:vAlign w:val="center"/>
          </w:tcPr>
          <w:p w14:paraId="2B4EF721">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采购项目名称</w:t>
            </w:r>
          </w:p>
        </w:tc>
        <w:tc>
          <w:tcPr>
            <w:tcW w:w="3121" w:type="pct"/>
            <w:vAlign w:val="center"/>
          </w:tcPr>
          <w:p w14:paraId="4C7E9EA9">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北航校医院全流程智能标本备管设备采购</w:t>
            </w:r>
          </w:p>
        </w:tc>
      </w:tr>
      <w:tr w14:paraId="39E60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79" w:type="pct"/>
            <w:vAlign w:val="center"/>
          </w:tcPr>
          <w:p w14:paraId="37FCDF7B">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联系人及联系方式</w:t>
            </w:r>
          </w:p>
        </w:tc>
        <w:tc>
          <w:tcPr>
            <w:tcW w:w="3121" w:type="pct"/>
            <w:vAlign w:val="center"/>
          </w:tcPr>
          <w:p w14:paraId="6792DC30">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马</w:t>
            </w:r>
            <w:r>
              <w:rPr>
                <w:rFonts w:hint="eastAsia" w:ascii="仿宋_GB2312" w:hAnsi="仿宋_GB2312" w:eastAsia="仿宋_GB2312" w:cs="仿宋_GB2312"/>
                <w:sz w:val="24"/>
              </w:rPr>
              <w:t>老师，82331196</w:t>
            </w:r>
          </w:p>
        </w:tc>
      </w:tr>
      <w:tr w14:paraId="11FD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879" w:type="pct"/>
            <w:vAlign w:val="center"/>
          </w:tcPr>
          <w:p w14:paraId="6C17C433">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预算金额（最高限价）</w:t>
            </w:r>
          </w:p>
        </w:tc>
        <w:tc>
          <w:tcPr>
            <w:tcW w:w="3121" w:type="pct"/>
            <w:vAlign w:val="center"/>
          </w:tcPr>
          <w:p w14:paraId="39D831E1">
            <w:pPr>
              <w:spacing w:line="520" w:lineRule="exact"/>
              <w:jc w:val="center"/>
              <w:rPr>
                <w:rFonts w:ascii="仿宋_GB2312" w:hAnsi="仿宋_GB2312" w:eastAsia="仿宋_GB2312" w:cs="仿宋_GB2312"/>
                <w:sz w:val="24"/>
              </w:rPr>
            </w:pPr>
            <w:r>
              <w:rPr>
                <w:rFonts w:hint="eastAsia" w:ascii="仿宋_GB2312" w:hAnsi="仿宋_GB2312" w:eastAsia="仿宋_GB2312" w:cs="仿宋_GB2312"/>
                <w:b/>
                <w:bCs/>
                <w:sz w:val="24"/>
              </w:rPr>
              <w:t>48.5（万元）</w:t>
            </w:r>
          </w:p>
        </w:tc>
      </w:tr>
      <w:tr w14:paraId="21C6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79" w:type="pct"/>
            <w:vAlign w:val="center"/>
          </w:tcPr>
          <w:p w14:paraId="31009FA7">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采购类型</w:t>
            </w:r>
          </w:p>
        </w:tc>
        <w:tc>
          <w:tcPr>
            <w:tcW w:w="3121" w:type="pct"/>
            <w:vAlign w:val="center"/>
          </w:tcPr>
          <w:p w14:paraId="6B7866A9">
            <w:pPr>
              <w:spacing w:line="520" w:lineRule="exact"/>
              <w:jc w:val="center"/>
              <w:rPr>
                <w:rFonts w:ascii="仿宋_GB2312" w:hAnsi="仿宋_GB2312" w:eastAsia="仿宋_GB2312" w:cs="仿宋_GB2312"/>
                <w:sz w:val="24"/>
              </w:rPr>
            </w:pPr>
            <w:sdt>
              <w:sdtPr>
                <w:rPr>
                  <w:rFonts w:hint="eastAsia" w:ascii="仿宋_GB2312" w:hAnsi="仿宋_GB2312" w:eastAsia="仿宋_GB2312" w:cs="仿宋_GB2312"/>
                  <w:sz w:val="24"/>
                </w:rPr>
                <w:id w:val="147466906"/>
              </w:sdtPr>
              <w:sdtEndPr>
                <w:rPr>
                  <w:rFonts w:hint="eastAsia" w:ascii="仿宋_GB2312" w:hAnsi="仿宋_GB2312" w:eastAsia="仿宋_GB2312" w:cs="仿宋_GB2312"/>
                  <w:sz w:val="24"/>
                </w:rPr>
              </w:sdtEndPr>
              <w:sdtContent>
                <w:sdt>
                  <w:sdtPr>
                    <w:rPr>
                      <w:rFonts w:hint="eastAsia" w:ascii="仿宋_GB2312" w:hAnsi="仿宋_GB2312" w:eastAsia="仿宋_GB2312" w:cs="仿宋_GB2312"/>
                      <w:sz w:val="24"/>
                    </w:rPr>
                    <w:id w:val="9451368"/>
                  </w:sdtPr>
                  <w:sdtEndPr>
                    <w:rPr>
                      <w:rFonts w:hint="eastAsia" w:ascii="仿宋_GB2312" w:hAnsi="仿宋_GB2312" w:eastAsia="仿宋_GB2312" w:cs="仿宋_GB2312"/>
                      <w:sz w:val="24"/>
                    </w:rPr>
                  </w:sdtEndPr>
                  <w:sdtContent>
                    <w:r>
                      <w:rPr>
                        <w:rFonts w:hint="eastAsia" w:ascii="仿宋" w:hAnsi="仿宋" w:eastAsia="仿宋" w:cs="仿宋_GB2312"/>
                        <w:sz w:val="24"/>
                      </w:rPr>
                      <w:t>■</w:t>
                    </w:r>
                  </w:sdtContent>
                </w:sdt>
              </w:sdtContent>
            </w:sdt>
            <w:r>
              <w:rPr>
                <w:rFonts w:hint="eastAsia" w:ascii="仿宋_GB2312" w:hAnsi="仿宋_GB2312" w:eastAsia="仿宋_GB2312" w:cs="仿宋_GB2312"/>
                <w:sz w:val="24"/>
              </w:rPr>
              <w:t xml:space="preserve">货物  </w:t>
            </w:r>
            <w:sdt>
              <w:sdtPr>
                <w:rPr>
                  <w:rFonts w:hint="eastAsia" w:ascii="仿宋_GB2312" w:hAnsi="仿宋_GB2312" w:eastAsia="仿宋_GB2312" w:cs="仿宋_GB2312"/>
                  <w:sz w:val="24"/>
                </w:rPr>
                <w:id w:val="147460741"/>
              </w:sdtPr>
              <w:sdtEndPr>
                <w:rPr>
                  <w:rFonts w:hint="eastAsia" w:ascii="仿宋_GB2312" w:hAnsi="仿宋_GB2312" w:eastAsia="仿宋_GB2312" w:cs="仿宋_GB2312"/>
                  <w:sz w:val="24"/>
                </w:rPr>
              </w:sdtEndPr>
              <w:sdtContent>
                <w:sdt>
                  <w:sdtPr>
                    <w:rPr>
                      <w:rFonts w:hint="eastAsia" w:ascii="仿宋_GB2312" w:hAnsi="仿宋_GB2312" w:eastAsia="仿宋_GB2312" w:cs="仿宋_GB2312"/>
                      <w:sz w:val="24"/>
                    </w:rPr>
                    <w:id w:val="9451369"/>
                  </w:sdtPr>
                  <w:sdtEndPr>
                    <w:rPr>
                      <w:rFonts w:hint="eastAsia" w:ascii="仿宋_GB2312" w:hAnsi="仿宋_GB2312" w:eastAsia="仿宋_GB2312" w:cs="仿宋_GB2312"/>
                      <w:sz w:val="24"/>
                    </w:rPr>
                  </w:sdtEndPr>
                  <w:sdtContent>
                    <w:r>
                      <w:rPr>
                        <w:rFonts w:hint="eastAsia" w:ascii="MS Mincho" w:hAnsi="MS Mincho" w:eastAsia="MS Mincho" w:cs="MS Mincho"/>
                        <w:sz w:val="24"/>
                      </w:rPr>
                      <w:t>☐</w:t>
                    </w:r>
                  </w:sdtContent>
                </w:sdt>
              </w:sdtContent>
            </w:sdt>
            <w:r>
              <w:rPr>
                <w:rFonts w:hint="eastAsia" w:ascii="仿宋_GB2312" w:hAnsi="仿宋_GB2312" w:eastAsia="仿宋_GB2312" w:cs="仿宋_GB2312"/>
                <w:sz w:val="24"/>
              </w:rPr>
              <w:t xml:space="preserve">服务 </w:t>
            </w:r>
            <w:sdt>
              <w:sdtPr>
                <w:rPr>
                  <w:rFonts w:hint="eastAsia" w:ascii="仿宋_GB2312" w:hAnsi="仿宋_GB2312" w:eastAsia="仿宋_GB2312" w:cs="仿宋_GB2312"/>
                  <w:sz w:val="24"/>
                </w:rPr>
                <w:id w:val="147459003"/>
              </w:sdtPr>
              <w:sdtEndPr>
                <w:rPr>
                  <w:rFonts w:hint="eastAsia" w:ascii="仿宋_GB2312" w:hAnsi="仿宋_GB2312" w:eastAsia="仿宋_GB2312" w:cs="仿宋_GB2312"/>
                  <w:sz w:val="24"/>
                </w:rPr>
              </w:sdtEndPr>
              <w:sdtContent>
                <w:r>
                  <w:rPr>
                    <w:rFonts w:hint="eastAsia" w:ascii="MS Mincho" w:hAnsi="MS Mincho" w:eastAsia="MS Mincho" w:cs="MS Mincho"/>
                    <w:sz w:val="24"/>
                  </w:rPr>
                  <w:t>☐</w:t>
                </w:r>
              </w:sdtContent>
            </w:sdt>
            <w:r>
              <w:rPr>
                <w:rFonts w:hint="eastAsia" w:ascii="仿宋_GB2312" w:hAnsi="仿宋_GB2312" w:eastAsia="仿宋_GB2312" w:cs="仿宋_GB2312"/>
                <w:sz w:val="24"/>
              </w:rPr>
              <w:t>工程建设</w:t>
            </w:r>
          </w:p>
        </w:tc>
      </w:tr>
      <w:tr w14:paraId="344C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79" w:type="pct"/>
            <w:vAlign w:val="center"/>
          </w:tcPr>
          <w:p w14:paraId="2C0990F8">
            <w:pPr>
              <w:spacing w:line="520" w:lineRule="exact"/>
              <w:jc w:val="center"/>
              <w:rPr>
                <w:rFonts w:ascii="仿宋" w:hAnsi="仿宋" w:eastAsia="仿宋"/>
                <w:sz w:val="24"/>
              </w:rPr>
            </w:pPr>
            <w:r>
              <w:rPr>
                <w:rFonts w:hint="eastAsia" w:ascii="仿宋_GB2312" w:hAnsi="仿宋_GB2312" w:eastAsia="仿宋_GB2312" w:cs="仿宋_GB2312"/>
                <w:sz w:val="24"/>
              </w:rPr>
              <w:t>采购项目用途</w:t>
            </w:r>
          </w:p>
        </w:tc>
        <w:tc>
          <w:tcPr>
            <w:tcW w:w="3121" w:type="pct"/>
            <w:vAlign w:val="center"/>
          </w:tcPr>
          <w:p w14:paraId="207483B5">
            <w:pPr>
              <w:pStyle w:val="5"/>
              <w:keepNext w:val="0"/>
              <w:spacing w:line="520" w:lineRule="exact"/>
              <w:outlineLvl w:val="2"/>
              <w:rPr>
                <w:rFonts w:ascii="仿宋" w:hAnsi="仿宋" w:eastAsia="仿宋"/>
                <w:b w:val="0"/>
                <w:bCs w:val="0"/>
                <w:sz w:val="24"/>
                <w:u w:val="single"/>
              </w:rPr>
            </w:pPr>
            <w:r>
              <w:rPr>
                <w:rFonts w:hint="eastAsia" w:ascii="仿宋_GB2312" w:hAnsi="仿宋_GB2312" w:eastAsia="仿宋_GB2312" w:cs="仿宋_GB2312"/>
                <w:b w:val="0"/>
                <w:bCs w:val="0"/>
                <w:sz w:val="24"/>
              </w:rPr>
              <w:t>校医院为优化采血流程、降低人为差错、提升体检及门诊采血效率、落实检验标本全流程溯源管理，规范标本标识质控，拟采购智能采血管及尿便管自动贴标设备及配套设备，实现医嘱下发、自动选管、自动打印、自动贴标一体化作业。智能采血管自动贴标机5套一机一位（含配套台面/架、采血平板/电脑、条码打印设备、扫码器等），尿便管自助机2套（含设备主机设备同时投放两种规格、配套控制管理系统）、四套采血配套台面、</w:t>
            </w:r>
            <w:r>
              <w:rPr>
                <w:rFonts w:ascii="仿宋_GB2312" w:hAnsi="仿宋_GB2312" w:eastAsia="仿宋_GB2312" w:cs="仿宋_GB2312"/>
                <w:b w:val="0"/>
                <w:bCs w:val="0"/>
                <w:sz w:val="24"/>
              </w:rPr>
              <w:t>LIS</w:t>
            </w:r>
            <w:r>
              <w:rPr>
                <w:rFonts w:hint="eastAsia" w:ascii="仿宋_GB2312" w:hAnsi="仿宋_GB2312" w:eastAsia="仿宋_GB2312" w:cs="仿宋_GB2312"/>
                <w:b w:val="0"/>
                <w:bCs w:val="0"/>
                <w:sz w:val="24"/>
              </w:rPr>
              <w:t>/HIS/体检系统接口开发、安装调试、现场培训、质保维保、随机备品备件等全部配套服务。</w:t>
            </w:r>
          </w:p>
        </w:tc>
      </w:tr>
    </w:tbl>
    <w:p w14:paraId="625FA658">
      <w:pPr>
        <w:spacing w:line="520" w:lineRule="exact"/>
        <w:ind w:firstLine="482" w:firstLineChars="200"/>
        <w:rPr>
          <w:rFonts w:ascii="黑体" w:hAnsi="黑体" w:eastAsia="黑体" w:cs="黑体"/>
          <w:b/>
          <w:color w:val="000000" w:themeColor="text1"/>
          <w:kern w:val="0"/>
          <w:sz w:val="24"/>
        </w:rPr>
      </w:pPr>
      <w:r>
        <w:rPr>
          <w:rFonts w:hint="eastAsia" w:ascii="黑体" w:hAnsi="黑体" w:eastAsia="黑体" w:cs="黑体"/>
          <w:b/>
          <w:color w:val="000000" w:themeColor="text1"/>
          <w:kern w:val="0"/>
          <w:sz w:val="24"/>
        </w:rPr>
        <w:t>二、采购项目相关要求</w:t>
      </w:r>
    </w:p>
    <w:p w14:paraId="78694A24">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（一）响应供应商资格条件：</w:t>
      </w:r>
    </w:p>
    <w:p w14:paraId="6990CDAB">
      <w:pPr>
        <w:widowControl/>
        <w:spacing w:line="520" w:lineRule="exact"/>
        <w:ind w:firstLine="480" w:firstLineChars="200"/>
        <w:rPr>
          <w:rFonts w:ascii="仿宋_GB2312" w:hAnsi="仿宋_GB2312" w:eastAsia="仿宋_GB2312" w:cs="仿宋_GB2312"/>
          <w:sz w:val="28"/>
          <w:szCs w:val="28"/>
        </w:rPr>
      </w:pPr>
      <w:r>
        <w:rPr>
          <w:rFonts w:hint="eastAsia" w:ascii="仿宋_GB2312" w:hAnsi="仿宋_GB2312" w:eastAsia="仿宋_GB2312" w:cs="仿宋_GB2312"/>
          <w:sz w:val="24"/>
        </w:rPr>
        <w:t>1、满足《中华人民共和国政府采购法》第二十二条规定；</w:t>
      </w:r>
    </w:p>
    <w:p w14:paraId="2B16ABD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（1）具有独立承担民事责任的能力；</w:t>
      </w:r>
    </w:p>
    <w:p w14:paraId="74D840E5">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（2）具有良好的商业信誉和健全的财务会计制度；</w:t>
      </w:r>
    </w:p>
    <w:p w14:paraId="6BBEEF0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（3）具有履行合同所必需的设备和专业技术能力；</w:t>
      </w:r>
    </w:p>
    <w:p w14:paraId="42DE661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（4）有依法缴纳税收和社会保障资金的良好记录；</w:t>
      </w:r>
    </w:p>
    <w:p w14:paraId="5C8AD7F6">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（5）法律、行政法规规定的其他条件。</w:t>
      </w:r>
    </w:p>
    <w:p w14:paraId="76D78B43">
      <w:pPr>
        <w:widowControl/>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2、落实相关政策的资格要求：</w:t>
      </w:r>
    </w:p>
    <w:p w14:paraId="0E015188">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37433BEA">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（2）单位负责人为同一人或者存在直接控股、管理关系的不同供应商，不得同时参加本项目的采购活动。</w:t>
      </w:r>
    </w:p>
    <w:p w14:paraId="7E766FC4">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（3）与采购项目负责人存在利害关系，可能影响采购公平的，不得参加本项目的采购活动。</w:t>
      </w:r>
    </w:p>
    <w:p w14:paraId="3765B0F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（4）不允许联合体响应，不接受分包。</w:t>
      </w:r>
    </w:p>
    <w:p w14:paraId="76A6A3D0">
      <w:pPr>
        <w:widowControl/>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3、满足本采购项目特殊资格条件：参加本项目的单位需要免费对接本院现有LIS、HIS系统以及体检系统，双向数据互通，医嘱自动下发、自动选管打印，接口永久免费升级、无年度接口费。</w:t>
      </w:r>
    </w:p>
    <w:p w14:paraId="1AFA9867">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（二）评审方法及规则：</w:t>
      </w:r>
    </w:p>
    <w:p w14:paraId="58E78F46">
      <w:pPr>
        <w:snapToGrid w:val="0"/>
        <w:spacing w:line="520" w:lineRule="exact"/>
        <w:ind w:firstLine="480" w:firstLineChars="200"/>
        <w:rPr>
          <w:rFonts w:ascii="仿宋_GB2312" w:hAnsi="仿宋_GB2312" w:eastAsia="仿宋_GB2312" w:cs="仿宋_GB2312"/>
          <w:sz w:val="24"/>
        </w:rPr>
      </w:pPr>
      <w:sdt>
        <w:sdtPr>
          <w:rPr>
            <w:rFonts w:hint="eastAsia" w:ascii="仿宋_GB2312" w:hAnsi="仿宋_GB2312" w:eastAsia="仿宋_GB2312" w:cs="仿宋_GB2312"/>
            <w:sz w:val="24"/>
          </w:rPr>
          <w:id w:val="147474232"/>
        </w:sdtPr>
        <w:sdtEndPr>
          <w:rPr>
            <w:rFonts w:hint="eastAsia" w:ascii="仿宋_GB2312" w:hAnsi="仿宋_GB2312" w:eastAsia="仿宋_GB2312" w:cs="仿宋_GB2312"/>
            <w:sz w:val="24"/>
          </w:rPr>
        </w:sdtEndPr>
        <w:sdtContent>
          <w:r>
            <w:rPr>
              <w:rFonts w:hint="eastAsia" w:ascii="MS Gothic" w:hAnsi="MS Gothic" w:eastAsia="仿宋_GB2312" w:cs="仿宋_GB2312"/>
              <w:sz w:val="24"/>
            </w:rPr>
            <w:t>☐</w:t>
          </w:r>
        </w:sdtContent>
      </w:sdt>
      <w:r>
        <w:rPr>
          <w:rFonts w:hint="eastAsia" w:ascii="仿宋_GB2312" w:hAnsi="仿宋_GB2312" w:eastAsia="仿宋_GB2312" w:cs="仿宋_GB2312"/>
          <w:sz w:val="24"/>
        </w:rPr>
        <w:t>综合比较：根据报价材料从品牌、参数、价格、性价比、供货时间及售后服务等方面进行综合比较。</w:t>
      </w:r>
    </w:p>
    <w:p w14:paraId="3387FC52">
      <w:pPr>
        <w:snapToGrid w:val="0"/>
        <w:spacing w:line="520" w:lineRule="exact"/>
        <w:ind w:firstLine="480" w:firstLineChars="200"/>
        <w:rPr>
          <w:sz w:val="20"/>
          <w:szCs w:val="22"/>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最低价：满足技术指标和商务指标实质性需求前提下，</w:t>
      </w:r>
      <w:r>
        <w:rPr>
          <w:rFonts w:hint="eastAsia" w:ascii="仿宋_GB2312" w:hAnsi="仿宋_GB2312" w:eastAsia="仿宋_GB2312" w:cs="仿宋_GB2312"/>
          <w:color w:val="auto"/>
          <w:sz w:val="24"/>
        </w:rPr>
        <w:t>单价</w:t>
      </w:r>
      <w:r>
        <w:rPr>
          <w:rFonts w:hint="eastAsia" w:ascii="仿宋_GB2312" w:hAnsi="仿宋_GB2312" w:eastAsia="仿宋_GB2312" w:cs="仿宋_GB2312"/>
          <w:sz w:val="24"/>
        </w:rPr>
        <w:t>最低价成交。</w:t>
      </w:r>
    </w:p>
    <w:p w14:paraId="50C94239">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（三）报名及响应文件递交要求：</w:t>
      </w:r>
    </w:p>
    <w:p w14:paraId="538A5A07">
      <w:pPr>
        <w:snapToGrid w:val="0"/>
        <w:spacing w:line="5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1、报名方式及截止时间：：</w:t>
      </w:r>
    </w:p>
    <w:p w14:paraId="0B820FE1">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kern w:val="2"/>
        </w:rPr>
      </w:pPr>
      <w:r>
        <w:rPr>
          <w:rFonts w:hint="eastAsia" w:ascii="仿宋_GB2312" w:hAnsi="仿宋_GB2312" w:eastAsia="仿宋_GB2312" w:cs="仿宋_GB2312"/>
          <w:color w:val="000000" w:themeColor="text1"/>
          <w:kern w:val="2"/>
        </w:rPr>
        <w:t>报名方式：按照以下要求准备报名信息发送至邮箱</w:t>
      </w:r>
      <w:r>
        <w:rPr>
          <w:rFonts w:hint="eastAsia" w:ascii="仿宋_GB2312" w:hAnsi="仿宋_GB2312" w:eastAsia="仿宋_GB2312" w:cs="仿宋_GB2312"/>
          <w:kern w:val="2"/>
        </w:rPr>
        <w:t>bhyybjk</w:t>
      </w:r>
      <w:r>
        <w:rPr>
          <w:rFonts w:ascii="仿宋_GB2312" w:hAnsi="仿宋_GB2312" w:eastAsia="仿宋_GB2312" w:cs="仿宋_GB2312"/>
          <w:kern w:val="2"/>
        </w:rPr>
        <w:t>@163.com</w:t>
      </w:r>
      <w:r>
        <w:rPr>
          <w:rFonts w:hint="eastAsia" w:ascii="仿宋_GB2312" w:hAnsi="仿宋_GB2312" w:eastAsia="仿宋_GB2312" w:cs="仿宋_GB2312"/>
          <w:kern w:val="2"/>
        </w:rPr>
        <w:t xml:space="preserve">（联系电话：82331196 </w:t>
      </w:r>
      <w:r>
        <w:rPr>
          <w:rFonts w:hint="eastAsia" w:ascii="仿宋_GB2312" w:hAnsi="仿宋_GB2312" w:eastAsia="仿宋_GB2312" w:cs="仿宋_GB2312"/>
          <w:kern w:val="2"/>
          <w:lang w:eastAsia="zh-CN"/>
        </w:rPr>
        <w:t>，</w:t>
      </w:r>
      <w:r>
        <w:rPr>
          <w:rFonts w:hint="eastAsia" w:ascii="仿宋_GB2312" w:hAnsi="仿宋_GB2312" w:eastAsia="仿宋_GB2312" w:cs="仿宋_GB2312"/>
          <w:kern w:val="2"/>
        </w:rPr>
        <w:t>联系人：马老师）</w:t>
      </w:r>
    </w:p>
    <w:p w14:paraId="0A0EE21D">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rPr>
      </w:pPr>
      <w:r>
        <w:rPr>
          <w:rFonts w:hint="eastAsia" w:ascii="仿宋_GB2312" w:hAnsi="仿宋_GB2312" w:eastAsia="仿宋_GB2312" w:cs="仿宋_GB2312"/>
          <w:color w:val="000000" w:themeColor="text1"/>
          <w:kern w:val="2"/>
        </w:rPr>
        <w:t>邮件标题：公司名称+采购项目名称；</w:t>
      </w:r>
    </w:p>
    <w:p w14:paraId="0D303914">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rPr>
      </w:pPr>
      <w:r>
        <w:rPr>
          <w:rFonts w:hint="eastAsia" w:ascii="仿宋_GB2312" w:hAnsi="仿宋_GB2312" w:eastAsia="仿宋_GB2312" w:cs="仿宋_GB2312"/>
          <w:color w:val="000000" w:themeColor="text1"/>
          <w:kern w:val="2"/>
        </w:rPr>
        <w:t>邮件内容：需注明公司名称，地址，销售人员全名及联系方式；</w:t>
      </w:r>
    </w:p>
    <w:p w14:paraId="383E52B5">
      <w:pPr>
        <w:pStyle w:val="12"/>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rPr>
      </w:pPr>
      <w:r>
        <w:rPr>
          <w:rFonts w:hint="eastAsia" w:ascii="仿宋_GB2312" w:hAnsi="仿宋_GB2312" w:eastAsia="仿宋_GB2312" w:cs="仿宋_GB2312"/>
          <w:color w:val="000000" w:themeColor="text1"/>
          <w:kern w:val="2"/>
        </w:rPr>
        <w:t>附件应包括：法人营业执照扫描件、法人授权书扫描件（含法人及销售人员身份证扫描件）、相应资质证件（如有）扫描件等整理为同一个PDF文件发送，不符合要求者不予接收；</w:t>
      </w:r>
    </w:p>
    <w:p w14:paraId="7F387713">
      <w:pPr>
        <w:snapToGrid w:val="0"/>
        <w:spacing w:line="5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报名截止时间：20</w:t>
      </w:r>
      <w:r>
        <w:rPr>
          <w:rFonts w:hint="eastAsia" w:ascii="仿宋_GB2312" w:hAnsi="仿宋_GB2312" w:eastAsia="仿宋_GB2312" w:cs="仿宋_GB2312"/>
          <w:color w:val="000000" w:themeColor="text1"/>
          <w:sz w:val="24"/>
          <w:lang w:val="en-US" w:eastAsia="zh-CN"/>
        </w:rPr>
        <w:t>26</w:t>
      </w:r>
      <w:r>
        <w:rPr>
          <w:rFonts w:hint="eastAsia" w:ascii="仿宋_GB2312" w:hAnsi="仿宋_GB2312" w:eastAsia="仿宋_GB2312" w:cs="仿宋_GB2312"/>
          <w:color w:val="000000" w:themeColor="text1"/>
          <w:sz w:val="24"/>
        </w:rPr>
        <w:t>年</w:t>
      </w:r>
      <w:r>
        <w:rPr>
          <w:rFonts w:hint="eastAsia" w:ascii="仿宋_GB2312" w:hAnsi="仿宋_GB2312" w:eastAsia="仿宋_GB2312" w:cs="仿宋_GB2312"/>
          <w:color w:val="000000" w:themeColor="text1"/>
          <w:sz w:val="24"/>
          <w:lang w:val="en-US" w:eastAsia="zh-CN"/>
        </w:rPr>
        <w:t>6</w:t>
      </w:r>
      <w:r>
        <w:rPr>
          <w:rFonts w:hint="eastAsia" w:ascii="仿宋_GB2312" w:hAnsi="仿宋_GB2312" w:eastAsia="仿宋_GB2312" w:cs="仿宋_GB2312"/>
          <w:color w:val="000000" w:themeColor="text1"/>
          <w:sz w:val="24"/>
        </w:rPr>
        <w:t>月</w:t>
      </w:r>
      <w:r>
        <w:rPr>
          <w:rFonts w:hint="eastAsia" w:ascii="仿宋_GB2312" w:hAnsi="仿宋_GB2312" w:eastAsia="仿宋_GB2312" w:cs="仿宋_GB2312"/>
          <w:color w:val="000000" w:themeColor="text1"/>
          <w:sz w:val="24"/>
          <w:lang w:val="en-US" w:eastAsia="zh-CN"/>
        </w:rPr>
        <w:t>18</w:t>
      </w:r>
      <w:r>
        <w:rPr>
          <w:rFonts w:hint="eastAsia" w:ascii="仿宋_GB2312" w:hAnsi="仿宋_GB2312" w:eastAsia="仿宋_GB2312" w:cs="仿宋_GB2312"/>
          <w:color w:val="000000" w:themeColor="text1"/>
          <w:sz w:val="24"/>
        </w:rPr>
        <w:t>日</w:t>
      </w:r>
      <w:r>
        <w:rPr>
          <w:rFonts w:hint="eastAsia" w:ascii="仿宋_GB2312" w:hAnsi="仿宋_GB2312" w:eastAsia="仿宋_GB2312" w:cs="仿宋_GB2312"/>
          <w:color w:val="000000" w:themeColor="text1"/>
          <w:sz w:val="24"/>
          <w:lang w:val="en-US" w:eastAsia="zh-CN"/>
        </w:rPr>
        <w:t>17</w:t>
      </w:r>
      <w:bookmarkStart w:id="0" w:name="_GoBack"/>
      <w:bookmarkEnd w:id="0"/>
      <w:r>
        <w:rPr>
          <w:rFonts w:hint="eastAsia" w:ascii="仿宋_GB2312" w:hAnsi="仿宋_GB2312" w:eastAsia="仿宋_GB2312" w:cs="仿宋_GB2312"/>
          <w:color w:val="000000" w:themeColor="text1"/>
          <w:sz w:val="24"/>
        </w:rPr>
        <w:t>时，逾期递交的报名文件恕不接受。</w:t>
      </w:r>
    </w:p>
    <w:p w14:paraId="1B57DFE0">
      <w:pPr>
        <w:snapToGrid w:val="0"/>
        <w:spacing w:line="5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2、响应文件递交方式：</w:t>
      </w:r>
    </w:p>
    <w:p w14:paraId="3D3EE6C6">
      <w:pPr>
        <w:snapToGrid w:val="0"/>
        <w:spacing w:line="5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竞价会时间确定后，我单位会以邮件及电话形式通知到各个响应供应商。请将纸质版响应文件（正本</w:t>
      </w:r>
      <w:r>
        <w:rPr>
          <w:rFonts w:ascii="仿宋_GB2312" w:hAnsi="仿宋_GB2312" w:eastAsia="仿宋_GB2312" w:cs="仿宋_GB2312"/>
          <w:color w:val="000000" w:themeColor="text1"/>
          <w:sz w:val="24"/>
          <w:u w:val="single"/>
        </w:rPr>
        <w:t>1</w:t>
      </w:r>
      <w:r>
        <w:rPr>
          <w:rFonts w:hint="eastAsia" w:ascii="仿宋_GB2312" w:hAnsi="仿宋_GB2312" w:eastAsia="仿宋_GB2312" w:cs="仿宋_GB2312"/>
          <w:color w:val="000000" w:themeColor="text1"/>
          <w:sz w:val="24"/>
        </w:rPr>
        <w:t>份，副本</w:t>
      </w:r>
      <w:r>
        <w:rPr>
          <w:rFonts w:ascii="仿宋_GB2312" w:hAnsi="仿宋_GB2312" w:eastAsia="仿宋_GB2312" w:cs="仿宋_GB2312"/>
          <w:color w:val="000000" w:themeColor="text1"/>
          <w:sz w:val="24"/>
          <w:u w:val="single"/>
        </w:rPr>
        <w:t>1</w:t>
      </w:r>
      <w:r>
        <w:rPr>
          <w:rFonts w:hint="eastAsia" w:ascii="仿宋_GB2312" w:hAnsi="仿宋_GB2312" w:eastAsia="仿宋_GB2312" w:cs="仿宋_GB2312"/>
          <w:color w:val="000000" w:themeColor="text1"/>
          <w:sz w:val="24"/>
        </w:rPr>
        <w:t>份）在截止时间之前邮寄/提交至</w:t>
      </w:r>
      <w:r>
        <w:rPr>
          <w:rFonts w:hint="eastAsia" w:ascii="仿宋_GB2312" w:hAnsi="仿宋_GB2312" w:eastAsia="仿宋_GB2312" w:cs="仿宋_GB2312"/>
          <w:color w:val="000000" w:themeColor="text1"/>
          <w:sz w:val="24"/>
          <w:u w:val="single"/>
        </w:rPr>
        <w:t>北京海淀区学院路37号北航校医院</w:t>
      </w:r>
      <w:r>
        <w:rPr>
          <w:rFonts w:hint="eastAsia" w:ascii="仿宋_GB2312" w:hAnsi="仿宋_GB2312" w:eastAsia="仿宋_GB2312" w:cs="仿宋_GB2312"/>
          <w:color w:val="000000" w:themeColor="text1"/>
          <w:sz w:val="24"/>
        </w:rPr>
        <w:t>。响应文件需含设备照片及相关业绩证明等材料。</w:t>
      </w:r>
    </w:p>
    <w:p w14:paraId="264CD0A9">
      <w:pPr>
        <w:snapToGrid w:val="0"/>
        <w:spacing w:line="520" w:lineRule="exact"/>
        <w:ind w:firstLine="482" w:firstLineChars="200"/>
        <w:rPr>
          <w:rFonts w:ascii="黑体" w:hAnsi="黑体" w:eastAsia="黑体" w:cs="黑体"/>
          <w:b/>
          <w:color w:val="000000" w:themeColor="text1"/>
          <w:kern w:val="0"/>
          <w:sz w:val="24"/>
        </w:rPr>
      </w:pPr>
      <w:r>
        <w:rPr>
          <w:rFonts w:hint="eastAsia" w:ascii="黑体" w:hAnsi="黑体" w:eastAsia="黑体" w:cs="黑体"/>
          <w:b/>
          <w:color w:val="000000" w:themeColor="text1"/>
          <w:kern w:val="0"/>
          <w:sz w:val="24"/>
        </w:rPr>
        <w:t>三、采购项目需实现的功能和目标：</w:t>
      </w:r>
    </w:p>
    <w:p w14:paraId="66668870">
      <w:pPr>
        <w:spacing w:line="5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随着本院体检采血、门诊标本送检量逐年增长，现有人工分拣试管、手工粘贴条码标签模式效率偏低，易出现错贴、漏贴、标签歪斜、标本混淆等隐患，不符合实验室标本规范化管理及质控要求。为优化采血流程、降低人为差错、提升体检及门诊采血效率、落实检验标本全流程溯源管理，规范标本标识质控，医院拟采购智能采血管及尿便管自动贴标设备及配套系统，实现医嘱下发、自动选管、自动打印、自动贴标一体化作业。</w:t>
      </w:r>
    </w:p>
    <w:p w14:paraId="00287DBA">
      <w:pPr>
        <w:spacing w:line="520" w:lineRule="exact"/>
        <w:ind w:firstLine="482" w:firstLineChars="200"/>
        <w:rPr>
          <w:rFonts w:ascii="黑体" w:hAnsi="黑体" w:eastAsia="黑体" w:cs="黑体"/>
          <w:b/>
          <w:color w:val="000000" w:themeColor="text1"/>
          <w:kern w:val="0"/>
          <w:sz w:val="24"/>
        </w:rPr>
      </w:pPr>
      <w:r>
        <w:rPr>
          <w:rFonts w:hint="eastAsia" w:ascii="黑体" w:hAnsi="黑体" w:eastAsia="黑体" w:cs="黑体"/>
          <w:b/>
          <w:color w:val="000000" w:themeColor="text1"/>
          <w:kern w:val="0"/>
          <w:sz w:val="24"/>
        </w:rPr>
        <w:t>四、采购标的汇总表</w:t>
      </w:r>
    </w:p>
    <w:tbl>
      <w:tblPr>
        <w:tblStyle w:val="14"/>
        <w:tblW w:w="50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2541"/>
        <w:gridCol w:w="1095"/>
        <w:gridCol w:w="1012"/>
        <w:gridCol w:w="1685"/>
        <w:gridCol w:w="1269"/>
      </w:tblGrid>
      <w:tr w14:paraId="278E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3" w:hRule="atLeast"/>
        </w:trPr>
        <w:tc>
          <w:tcPr>
            <w:tcW w:w="494" w:type="pct"/>
            <w:shd w:val="clear" w:color="auto" w:fill="FFFFFF"/>
            <w:tcMar>
              <w:top w:w="0" w:type="dxa"/>
              <w:right w:w="0" w:type="dxa"/>
            </w:tcMar>
            <w:vAlign w:val="center"/>
          </w:tcPr>
          <w:p w14:paraId="412A42F7">
            <w:pPr>
              <w:autoSpaceDE w:val="0"/>
              <w:autoSpaceDN w:val="0"/>
              <w:adjustRightInd w:val="0"/>
              <w:spacing w:line="520" w:lineRule="exact"/>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序号</w:t>
            </w:r>
          </w:p>
        </w:tc>
        <w:tc>
          <w:tcPr>
            <w:tcW w:w="1506" w:type="pct"/>
            <w:shd w:val="clear" w:color="auto" w:fill="FFFFFF"/>
            <w:tcMar>
              <w:top w:w="0" w:type="dxa"/>
              <w:right w:w="0" w:type="dxa"/>
            </w:tcMar>
            <w:vAlign w:val="center"/>
          </w:tcPr>
          <w:p w14:paraId="22D60DCE">
            <w:pPr>
              <w:autoSpaceDE w:val="0"/>
              <w:autoSpaceDN w:val="0"/>
              <w:adjustRightInd w:val="0"/>
              <w:spacing w:line="520" w:lineRule="exact"/>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采购标的名称</w:t>
            </w:r>
          </w:p>
        </w:tc>
        <w:tc>
          <w:tcPr>
            <w:tcW w:w="649" w:type="pct"/>
            <w:shd w:val="clear" w:color="auto" w:fill="FFFFFF"/>
            <w:vAlign w:val="center"/>
          </w:tcPr>
          <w:p w14:paraId="5DE0D6E8">
            <w:pPr>
              <w:autoSpaceDE w:val="0"/>
              <w:autoSpaceDN w:val="0"/>
              <w:adjustRightInd w:val="0"/>
              <w:spacing w:line="520" w:lineRule="exact"/>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数量</w:t>
            </w:r>
          </w:p>
        </w:tc>
        <w:tc>
          <w:tcPr>
            <w:tcW w:w="600" w:type="pct"/>
            <w:shd w:val="clear" w:color="auto" w:fill="FFFFFF"/>
            <w:tcMar>
              <w:top w:w="0" w:type="dxa"/>
              <w:right w:w="0" w:type="dxa"/>
            </w:tcMar>
            <w:vAlign w:val="center"/>
          </w:tcPr>
          <w:p w14:paraId="65FE93B1">
            <w:pPr>
              <w:autoSpaceDE w:val="0"/>
              <w:autoSpaceDN w:val="0"/>
              <w:adjustRightInd w:val="0"/>
              <w:spacing w:line="520" w:lineRule="exact"/>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单位</w:t>
            </w:r>
          </w:p>
        </w:tc>
        <w:tc>
          <w:tcPr>
            <w:tcW w:w="999" w:type="pct"/>
            <w:shd w:val="clear" w:color="auto" w:fill="FFFFFF"/>
            <w:vAlign w:val="center"/>
          </w:tcPr>
          <w:p w14:paraId="74F26DF4">
            <w:pPr>
              <w:autoSpaceDE w:val="0"/>
              <w:autoSpaceDN w:val="0"/>
              <w:adjustRightInd w:val="0"/>
              <w:jc w:val="center"/>
              <w:rPr>
                <w:rFonts w:ascii="仿宋_GB2312" w:hAnsi="仿宋_GB2312" w:eastAsia="仿宋_GB2312" w:cs="仿宋_GB2312"/>
                <w:sz w:val="24"/>
              </w:rPr>
            </w:pPr>
            <w:r>
              <w:rPr>
                <w:rFonts w:hint="eastAsia" w:ascii="仿宋_GB2312" w:hAnsi="仿宋_GB2312" w:eastAsia="仿宋_GB2312" w:cs="仿宋_GB2312"/>
                <w:sz w:val="24"/>
              </w:rPr>
              <w:t>预算金额</w:t>
            </w:r>
          </w:p>
          <w:p w14:paraId="46212CD6">
            <w:pPr>
              <w:autoSpaceDE w:val="0"/>
              <w:autoSpaceDN w:val="0"/>
              <w:adjustRightInd w:val="0"/>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sz w:val="24"/>
              </w:rPr>
              <w:t>（万元）</w:t>
            </w:r>
          </w:p>
        </w:tc>
        <w:tc>
          <w:tcPr>
            <w:tcW w:w="752" w:type="pct"/>
            <w:shd w:val="clear" w:color="auto" w:fill="FFFFFF"/>
            <w:tcMar>
              <w:top w:w="0" w:type="dxa"/>
              <w:right w:w="0" w:type="dxa"/>
            </w:tcMar>
            <w:vAlign w:val="center"/>
          </w:tcPr>
          <w:p w14:paraId="2E360364">
            <w:pPr>
              <w:autoSpaceDE w:val="0"/>
              <w:autoSpaceDN w:val="0"/>
              <w:adjustRightInd w:val="0"/>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是否接受进口产品</w:t>
            </w:r>
          </w:p>
        </w:tc>
      </w:tr>
      <w:tr w14:paraId="4C84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94" w:type="pct"/>
            <w:shd w:val="clear" w:color="auto" w:fill="FFFFFF"/>
            <w:tcMar>
              <w:top w:w="0" w:type="dxa"/>
              <w:right w:w="0" w:type="dxa"/>
            </w:tcMar>
            <w:vAlign w:val="center"/>
          </w:tcPr>
          <w:p w14:paraId="0D0CD39C">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506" w:type="pct"/>
            <w:shd w:val="clear" w:color="auto" w:fill="FFFFFF"/>
            <w:tcMar>
              <w:top w:w="0" w:type="dxa"/>
              <w:right w:w="0" w:type="dxa"/>
            </w:tcMar>
            <w:vAlign w:val="center"/>
          </w:tcPr>
          <w:p w14:paraId="2C3E5F08">
            <w:pPr>
              <w:widowControl/>
              <w:jc w:val="center"/>
              <w:rPr>
                <w:rFonts w:ascii="宋体" w:hAnsi="宋体" w:cs="宋体"/>
                <w:color w:val="000000"/>
                <w:kern w:val="0"/>
                <w:szCs w:val="21"/>
              </w:rPr>
            </w:pPr>
            <w:r>
              <w:rPr>
                <w:rFonts w:hint="eastAsia" w:ascii="仿宋_GB2312" w:hAnsi="仿宋_GB2312" w:eastAsia="仿宋_GB2312" w:cs="仿宋_GB2312"/>
                <w:sz w:val="24"/>
              </w:rPr>
              <w:t>北航校医院全流程智能标本备管设备</w:t>
            </w:r>
          </w:p>
        </w:tc>
        <w:tc>
          <w:tcPr>
            <w:tcW w:w="649" w:type="pct"/>
            <w:shd w:val="clear" w:color="auto" w:fill="FFFFFF"/>
            <w:vAlign w:val="center"/>
          </w:tcPr>
          <w:p w14:paraId="0AF5F5E5">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00" w:type="pct"/>
            <w:shd w:val="clear" w:color="auto" w:fill="FFFFFF"/>
            <w:tcMar>
              <w:top w:w="0" w:type="dxa"/>
              <w:right w:w="0" w:type="dxa"/>
            </w:tcMar>
            <w:vAlign w:val="center"/>
          </w:tcPr>
          <w:p w14:paraId="5A722FED">
            <w:pPr>
              <w:widowControl/>
              <w:jc w:val="center"/>
              <w:rPr>
                <w:rFonts w:ascii="宋体" w:hAnsi="宋体" w:cs="宋体"/>
                <w:color w:val="000000"/>
                <w:kern w:val="0"/>
                <w:szCs w:val="21"/>
              </w:rPr>
            </w:pPr>
            <w:r>
              <w:rPr>
                <w:rFonts w:hint="eastAsia" w:ascii="宋体" w:hAnsi="宋体" w:cs="宋体"/>
                <w:color w:val="000000"/>
                <w:kern w:val="0"/>
                <w:szCs w:val="21"/>
              </w:rPr>
              <w:t>批</w:t>
            </w:r>
          </w:p>
        </w:tc>
        <w:tc>
          <w:tcPr>
            <w:tcW w:w="999" w:type="pct"/>
            <w:shd w:val="clear" w:color="auto" w:fill="FFFFFF"/>
            <w:vAlign w:val="center"/>
          </w:tcPr>
          <w:p w14:paraId="6A1FC3CA">
            <w:pPr>
              <w:widowControl/>
              <w:jc w:val="center"/>
              <w:rPr>
                <w:rFonts w:ascii="宋体" w:hAnsi="宋体" w:cs="宋体"/>
                <w:color w:val="000000"/>
                <w:kern w:val="0"/>
                <w:szCs w:val="21"/>
              </w:rPr>
            </w:pPr>
            <w:r>
              <w:rPr>
                <w:rFonts w:hint="eastAsia" w:ascii="宋体" w:hAnsi="宋体" w:cs="宋体"/>
                <w:color w:val="000000"/>
                <w:kern w:val="0"/>
                <w:szCs w:val="21"/>
              </w:rPr>
              <w:t>48.5</w:t>
            </w:r>
          </w:p>
        </w:tc>
        <w:tc>
          <w:tcPr>
            <w:tcW w:w="752" w:type="pct"/>
            <w:shd w:val="clear" w:color="auto" w:fill="FFFFFF"/>
            <w:tcMar>
              <w:top w:w="0" w:type="dxa"/>
              <w:right w:w="0" w:type="dxa"/>
            </w:tcMar>
            <w:vAlign w:val="center"/>
          </w:tcPr>
          <w:p w14:paraId="0513A23E">
            <w:pPr>
              <w:widowControl/>
              <w:jc w:val="center"/>
              <w:rPr>
                <w:rFonts w:ascii="宋体" w:hAnsi="宋体" w:cs="宋体"/>
                <w:color w:val="000000"/>
                <w:kern w:val="0"/>
                <w:szCs w:val="21"/>
              </w:rPr>
            </w:pPr>
            <w:r>
              <w:rPr>
                <w:rFonts w:hint="eastAsia" w:ascii="宋体" w:hAnsi="宋体" w:cs="宋体"/>
                <w:color w:val="000000"/>
                <w:kern w:val="0"/>
                <w:szCs w:val="21"/>
              </w:rPr>
              <w:t>否</w:t>
            </w:r>
          </w:p>
        </w:tc>
      </w:tr>
    </w:tbl>
    <w:p w14:paraId="172AE602">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注：进口产品指通过中国海关报关验放进入中国境内且产自境外的产品。</w:t>
      </w:r>
    </w:p>
    <w:p w14:paraId="2E8557C5">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EE0000"/>
          <w:sz w:val="24"/>
        </w:rPr>
        <w:t>★</w:t>
      </w:r>
      <w:r>
        <w:rPr>
          <w:rFonts w:hint="eastAsia" w:ascii="仿宋_GB2312" w:hAnsi="仿宋_GB2312" w:eastAsia="仿宋_GB2312" w:cs="仿宋_GB2312"/>
          <w:sz w:val="24"/>
        </w:rPr>
        <w:t>若供应商所报产品为进口产品，则供应商须具有所报进口产品生产厂家授权文件，否则响应文件无效。授权文件要求如下：由生产厂家或其在国内的授权代理商出具的授权书。</w:t>
      </w:r>
    </w:p>
    <w:p w14:paraId="2F123311">
      <w:pPr>
        <w:pStyle w:val="2"/>
        <w:spacing w:line="560" w:lineRule="exact"/>
        <w:ind w:left="0" w:leftChars="0" w:firstLine="480"/>
        <w:rPr>
          <w:b/>
          <w:bCs/>
        </w:rPr>
      </w:pPr>
      <w:r>
        <w:rPr>
          <w:rFonts w:hint="eastAsia" w:ascii="仿宋_GB2312" w:hAnsi="仿宋_GB2312" w:eastAsia="仿宋_GB2312" w:cs="仿宋_GB2312"/>
          <w:color w:val="EE0000"/>
          <w:sz w:val="24"/>
        </w:rPr>
        <w:t>★</w:t>
      </w:r>
      <w:r>
        <w:rPr>
          <w:rFonts w:hint="eastAsia" w:ascii="仿宋_GB2312" w:hAnsi="仿宋_GB2312" w:eastAsia="仿宋_GB2312" w:cs="仿宋_GB2312"/>
          <w:b/>
          <w:bCs/>
          <w:color w:val="000000" w:themeColor="text1"/>
          <w:sz w:val="24"/>
        </w:rPr>
        <w:t>响应文件中应根据汇总表提供采购标的报价单（模板见附件）。</w:t>
      </w:r>
    </w:p>
    <w:p w14:paraId="51AE6410">
      <w:pPr>
        <w:spacing w:line="520" w:lineRule="exact"/>
        <w:ind w:firstLine="482" w:firstLineChars="200"/>
        <w:rPr>
          <w:rFonts w:ascii="黑体" w:hAnsi="黑体" w:eastAsia="黑体" w:cs="黑体"/>
          <w:b/>
          <w:color w:val="000000" w:themeColor="text1"/>
          <w:kern w:val="0"/>
          <w:sz w:val="24"/>
        </w:rPr>
      </w:pPr>
      <w:r>
        <w:rPr>
          <w:rFonts w:hint="eastAsia" w:ascii="黑体" w:hAnsi="黑体" w:eastAsia="黑体" w:cs="黑体"/>
          <w:b/>
          <w:color w:val="000000" w:themeColor="text1"/>
          <w:kern w:val="0"/>
          <w:sz w:val="24"/>
        </w:rPr>
        <w:t>五、技术要求与商务要求</w:t>
      </w:r>
    </w:p>
    <w:p w14:paraId="6FE5D236">
      <w:pPr>
        <w:snapToGrid w:val="0"/>
        <w:spacing w:line="52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技术指标和商务要求分为关键指标和一般指标。标“★”代表关键指标，不满足该指标将导致响应被拒绝；无标识则表示一般指标。对于关键指标，</w:t>
      </w:r>
      <w:r>
        <w:rPr>
          <w:rFonts w:hint="eastAsia" w:ascii="仿宋_GB2312" w:hAnsi="仿宋_GB2312" w:eastAsia="仿宋_GB2312" w:cs="仿宋_GB2312"/>
          <w:sz w:val="24"/>
        </w:rPr>
        <w:t>响应人需提供所投产品的第三方检测报告或技术白皮书或技术彩页或官网截图或其他证明文件以证明投标参数符合技术要求，未提供有效证明材料或证明材料中内容与所填报指标不一致的视为不满足。</w:t>
      </w:r>
    </w:p>
    <w:p w14:paraId="660F300C">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（一）技术要求：</w:t>
      </w:r>
    </w:p>
    <w:p w14:paraId="6E6FE0D4">
      <w:pPr>
        <w:pStyle w:val="24"/>
        <w:spacing w:line="360" w:lineRule="exact"/>
        <w:ind w:firstLine="0" w:firstLineChars="0"/>
        <w:jc w:val="left"/>
        <w:rPr>
          <w:rFonts w:ascii="仿宋_GB2312" w:hAnsi="仿宋_GB2312" w:eastAsia="仿宋_GB2312" w:cs="仿宋_GB2312"/>
          <w:sz w:val="24"/>
        </w:rPr>
      </w:pPr>
      <w:r>
        <w:rPr>
          <w:rFonts w:hint="eastAsia" w:ascii="仿宋_GB2312" w:hAnsi="仿宋_GB2312" w:eastAsia="仿宋_GB2312" w:cs="仿宋_GB2312"/>
          <w:sz w:val="24"/>
        </w:rPr>
        <w:t>1、采购标的1：</w:t>
      </w:r>
    </w:p>
    <w:p w14:paraId="0F8FAFC2">
      <w:pPr>
        <w:pStyle w:val="24"/>
        <w:spacing w:line="360" w:lineRule="exact"/>
        <w:ind w:firstLine="0" w:firstLineChars="0"/>
        <w:jc w:val="left"/>
        <w:rPr>
          <w:rFonts w:ascii="宋体" w:hAnsi="宋体" w:cs="宋体"/>
          <w:b/>
          <w:bCs w:val="0"/>
          <w:kern w:val="0"/>
          <w:sz w:val="24"/>
        </w:rPr>
      </w:pPr>
      <w:r>
        <w:rPr>
          <w:rFonts w:hint="eastAsia" w:ascii="仿宋_GB2312" w:hAnsi="仿宋_GB2312" w:eastAsia="仿宋_GB2312" w:cs="仿宋_GB2312"/>
          <w:sz w:val="24"/>
        </w:rPr>
        <w:t>1.1</w:t>
      </w:r>
      <w:r>
        <w:rPr>
          <w:rFonts w:hint="eastAsia" w:ascii="仿宋_GB2312" w:hAnsi="仿宋_GB2312" w:eastAsia="仿宋_GB2312" w:cs="仿宋_GB2312"/>
          <w:bCs w:val="0"/>
          <w:color w:val="000000" w:themeColor="text1"/>
          <w:sz w:val="24"/>
          <w:szCs w:val="20"/>
        </w:rPr>
        <w:t>多功能采血桌（4套）</w:t>
      </w:r>
    </w:p>
    <w:p w14:paraId="73531C77">
      <w:pPr>
        <w:widowControl/>
        <w:spacing w:line="360" w:lineRule="auto"/>
        <w:ind w:firstLine="360" w:firstLineChars="150"/>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参考采血室空间大小，定制4套长度</w:t>
      </w:r>
      <w:r>
        <w:rPr>
          <w:rFonts w:hint="eastAsia" w:ascii="宋体" w:hAnsi="宋体" w:eastAsia="宋体" w:cs="仿宋_GB2312"/>
          <w:sz w:val="24"/>
        </w:rPr>
        <w:t>≤</w:t>
      </w:r>
      <w:r>
        <w:rPr>
          <w:rFonts w:hint="eastAsia" w:ascii="仿宋_GB2312" w:hAnsi="仿宋_GB2312" w:eastAsia="仿宋_GB2312" w:cs="仿宋_GB2312"/>
          <w:sz w:val="24"/>
        </w:rPr>
        <w:t>1.45米，宽度</w:t>
      </w:r>
      <w:r>
        <w:rPr>
          <w:rFonts w:hint="eastAsia" w:ascii="宋体" w:hAnsi="宋体" w:eastAsia="宋体" w:cs="仿宋_GB2312"/>
          <w:sz w:val="24"/>
        </w:rPr>
        <w:t>0.6-</w:t>
      </w:r>
      <w:r>
        <w:rPr>
          <w:rFonts w:hint="eastAsia" w:ascii="仿宋_GB2312" w:hAnsi="仿宋_GB2312" w:eastAsia="仿宋_GB2312" w:cs="仿宋_GB2312"/>
          <w:sz w:val="24"/>
        </w:rPr>
        <w:t>0.65米采血桌椅，含大理石台面（根据实际场地需求设计），满足医院设施空间要求，可根据医院场地调整。</w:t>
      </w:r>
    </w:p>
    <w:p w14:paraId="29F227E4">
      <w:pPr>
        <w:snapToGrid w:val="0"/>
        <w:spacing w:line="520" w:lineRule="exact"/>
        <w:rPr>
          <w:rFonts w:ascii="仿宋_GB2312" w:hAnsi="仿宋_GB2312" w:eastAsia="仿宋_GB2312" w:cs="仿宋_GB2312"/>
          <w:color w:val="000000" w:themeColor="text1"/>
          <w:sz w:val="24"/>
        </w:rPr>
      </w:pPr>
      <w:r>
        <w:rPr>
          <w:rFonts w:hint="eastAsia" w:ascii="仿宋_GB2312" w:hAnsi="仿宋_GB2312" w:eastAsia="仿宋_GB2312" w:cs="仿宋_GB2312"/>
          <w:sz w:val="24"/>
        </w:rPr>
        <w:t xml:space="preserve">1.2 </w:t>
      </w:r>
      <w:r>
        <w:rPr>
          <w:rFonts w:hint="eastAsia" w:ascii="仿宋_GB2312" w:hAnsi="仿宋_GB2312" w:eastAsia="仿宋_GB2312" w:cs="仿宋_GB2312"/>
          <w:color w:val="000000" w:themeColor="text1"/>
          <w:sz w:val="24"/>
          <w:szCs w:val="20"/>
        </w:rPr>
        <w:t>尿便管自助机（2套）</w:t>
      </w:r>
      <w:r>
        <w:rPr>
          <w:rFonts w:hint="eastAsia" w:ascii="仿宋_GB2312" w:hAnsi="仿宋_GB2312" w:eastAsia="仿宋_GB2312" w:cs="仿宋_GB2312"/>
          <w:color w:val="000000" w:themeColor="text1"/>
          <w:sz w:val="24"/>
        </w:rPr>
        <w:t>。</w:t>
      </w:r>
    </w:p>
    <w:p w14:paraId="2748E5C8">
      <w:pPr>
        <w:pStyle w:val="2"/>
        <w:ind w:left="0" w:leftChars="0" w:firstLine="360" w:firstLineChars="150"/>
        <w:rPr>
          <w:rFonts w:ascii="仿宋_GB2312" w:hAnsi="仿宋_GB2312" w:eastAsia="仿宋_GB2312" w:cs="仿宋_GB2312"/>
          <w:sz w:val="24"/>
        </w:rPr>
      </w:pPr>
      <w:r>
        <w:rPr>
          <w:rFonts w:hint="eastAsia" w:ascii="仿宋_GB2312" w:hAnsi="仿宋_GB2312" w:eastAsia="仿宋_GB2312" w:cs="仿宋_GB2312"/>
          <w:sz w:val="24"/>
        </w:rPr>
        <w:t>技术参数：</w:t>
      </w:r>
    </w:p>
    <w:p w14:paraId="7DD72201">
      <w:pPr>
        <w:pStyle w:val="2"/>
        <w:spacing w:line="360" w:lineRule="auto"/>
        <w:ind w:left="0" w:leftChars="0" w:firstLine="360" w:firstLineChars="150"/>
        <w:rPr>
          <w:rFonts w:ascii="仿宋_GB2312" w:hAnsi="仿宋_GB2312" w:eastAsia="仿宋_GB2312" w:cs="仿宋_GB2312"/>
          <w:sz w:val="24"/>
        </w:rPr>
      </w:pPr>
      <w:r>
        <w:rPr>
          <w:rFonts w:hint="eastAsia" w:ascii="仿宋_GB2312" w:hAnsi="仿宋_GB2312" w:eastAsia="仿宋_GB2312" w:cs="仿宋_GB2312"/>
          <w:sz w:val="24"/>
        </w:rPr>
        <w:t>1.2.1</w:t>
      </w:r>
      <w:r>
        <w:rPr>
          <w:rFonts w:hint="eastAsia" w:ascii="仿宋_GB2312" w:hAnsi="仿宋_GB2312" w:eastAsia="仿宋_GB2312" w:cs="仿宋_GB2312"/>
          <w:b/>
          <w:bCs/>
          <w:sz w:val="24"/>
        </w:rPr>
        <w:t>★</w:t>
      </w:r>
      <w:r>
        <w:rPr>
          <w:rFonts w:hint="eastAsia" w:ascii="仿宋_GB2312" w:hAnsi="仿宋_GB2312" w:eastAsia="仿宋_GB2312" w:cs="仿宋_GB2312"/>
          <w:sz w:val="24"/>
        </w:rPr>
        <w:t>装管方式可采用无序倾倒式，无需摆放，方便快捷，整机容量≥400支，整机滑道式备管料仓数不得低于2，且支持在线加管，无需停机；落地式安装，方便移动；</w:t>
      </w:r>
    </w:p>
    <w:p w14:paraId="7AF0D170">
      <w:pPr>
        <w:pStyle w:val="2"/>
        <w:spacing w:line="360" w:lineRule="auto"/>
        <w:ind w:left="0" w:leftChars="0" w:firstLine="360" w:firstLineChars="150"/>
        <w:rPr>
          <w:rFonts w:ascii="仿宋_GB2312" w:hAnsi="仿宋_GB2312" w:eastAsia="仿宋_GB2312" w:cs="仿宋_GB2312"/>
          <w:sz w:val="24"/>
        </w:rPr>
      </w:pPr>
      <w:r>
        <w:rPr>
          <w:rFonts w:hint="eastAsia" w:ascii="仿宋_GB2312" w:hAnsi="仿宋_GB2312" w:eastAsia="仿宋_GB2312" w:cs="仿宋_GB2312"/>
          <w:sz w:val="24"/>
        </w:rPr>
        <w:t>1.2.2</w:t>
      </w:r>
      <w:r>
        <w:rPr>
          <w:rFonts w:hint="eastAsia" w:ascii="仿宋_GB2312" w:hAnsi="仿宋_GB2312" w:eastAsia="仿宋_GB2312" w:cs="仿宋_GB2312"/>
          <w:b/>
          <w:bCs/>
          <w:sz w:val="24"/>
        </w:rPr>
        <w:t>★</w:t>
      </w:r>
      <w:r>
        <w:rPr>
          <w:rFonts w:hint="eastAsia" w:ascii="仿宋_GB2312" w:hAnsi="仿宋_GB2312" w:eastAsia="仿宋_GB2312" w:cs="仿宋_GB2312"/>
          <w:sz w:val="24"/>
        </w:rPr>
        <w:t>机器内部配置两个料仓：支持尿管、便管（管帽20.5mm±0.2mm，长度70-110mm）分别单仓配置或同种管型双仓配置，可按需配置仓位；</w:t>
      </w:r>
    </w:p>
    <w:p w14:paraId="65C882F6">
      <w:pPr>
        <w:pStyle w:val="2"/>
        <w:spacing w:line="360" w:lineRule="auto"/>
        <w:ind w:left="0" w:leftChars="0" w:firstLine="360" w:firstLineChars="150"/>
        <w:rPr>
          <w:rFonts w:ascii="仿宋_GB2312" w:hAnsi="仿宋_GB2312" w:eastAsia="仿宋_GB2312" w:cs="仿宋_GB2312"/>
          <w:sz w:val="24"/>
        </w:rPr>
      </w:pPr>
      <w:r>
        <w:rPr>
          <w:rFonts w:hint="eastAsia" w:ascii="仿宋_GB2312" w:hAnsi="仿宋_GB2312" w:eastAsia="仿宋_GB2312" w:cs="仿宋_GB2312"/>
          <w:sz w:val="24"/>
        </w:rPr>
        <w:t>1.2.3 尿便管自助机具有支持一维码和二维码扫描（可根据需求扩展其他信息获取方式：如磁条卡、芯片卡、身份证等识别方式）, 患者通过在设备上刷就诊卡、医保卡、条码等方式获取贴有患者信息标签的尿/便管,患者自助操作,；</w:t>
      </w:r>
    </w:p>
    <w:p w14:paraId="4836BF22">
      <w:pPr>
        <w:pStyle w:val="2"/>
        <w:spacing w:line="360" w:lineRule="auto"/>
        <w:ind w:left="0" w:leftChars="0" w:firstLine="360" w:firstLineChars="150"/>
        <w:rPr>
          <w:rFonts w:ascii="仿宋_GB2312" w:hAnsi="仿宋_GB2312" w:eastAsia="仿宋_GB2312" w:cs="仿宋_GB2312"/>
          <w:sz w:val="24"/>
        </w:rPr>
      </w:pPr>
      <w:r>
        <w:rPr>
          <w:rFonts w:hint="eastAsia" w:ascii="仿宋_GB2312" w:hAnsi="仿宋_GB2312" w:eastAsia="仿宋_GB2312" w:cs="仿宋_GB2312"/>
          <w:sz w:val="24"/>
        </w:rPr>
        <w:t>1.2.4标签尺寸兼容 50×30mm、40×30mm等，不少于1000张/卷，可根据实际情况定制标签尺寸，标签纸为开放耗材；</w:t>
      </w:r>
    </w:p>
    <w:p w14:paraId="518D4BA3">
      <w:pPr>
        <w:pStyle w:val="2"/>
        <w:spacing w:line="360" w:lineRule="auto"/>
        <w:ind w:left="0" w:leftChars="0" w:firstLine="360" w:firstLineChars="150"/>
        <w:rPr>
          <w:rFonts w:ascii="仿宋_GB2312" w:hAnsi="仿宋_GB2312" w:eastAsia="仿宋_GB2312" w:cs="仿宋_GB2312"/>
          <w:sz w:val="24"/>
        </w:rPr>
      </w:pPr>
      <w:r>
        <w:rPr>
          <w:rFonts w:hint="eastAsia" w:ascii="仿宋_GB2312" w:hAnsi="仿宋_GB2312" w:eastAsia="仿宋_GB2312" w:cs="仿宋_GB2312"/>
          <w:sz w:val="24"/>
        </w:rPr>
        <w:t>1.2.5中文操作界面，可显示患者基本信息和所需采集的标本项目信息，可勾选患者本次采集所需打印贴标的标本项目。</w:t>
      </w:r>
    </w:p>
    <w:p w14:paraId="1998CE31">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 xml:space="preserve">   1.2.6尿便管自助管理系统, 软件系统可满足日常工作的功能要求，其中包含信息系统接口模块、相关数据处理模块、设备管理模块、数据统计模块等, 支持设备数据导出、储存、分析。</w:t>
      </w:r>
    </w:p>
    <w:p w14:paraId="2CCCC100">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1.3  全自动备管机（5套）</w:t>
      </w:r>
    </w:p>
    <w:p w14:paraId="3EFF4F00">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1.3.1</w:t>
      </w:r>
      <w:r>
        <w:rPr>
          <w:rFonts w:hint="eastAsia" w:ascii="仿宋_GB2312" w:hAnsi="仿宋_GB2312" w:eastAsia="仿宋_GB2312" w:cs="仿宋_GB2312"/>
          <w:b/>
          <w:bCs/>
          <w:sz w:val="24"/>
        </w:rPr>
        <w:t>★</w:t>
      </w:r>
      <w:r>
        <w:rPr>
          <w:rFonts w:hint="eastAsia" w:ascii="仿宋_GB2312" w:hAnsi="仿宋_GB2312" w:eastAsia="仿宋_GB2312" w:cs="仿宋_GB2312"/>
          <w:sz w:val="24"/>
        </w:rPr>
        <w:t>设备主机一机一位，设计减少占用采血桌面空间，同时侧柜可收纳利器盒、采血管等采血相关物品；介于采血室空间大小，设备要求长度小于75cm、宽度小于40cm；</w:t>
      </w:r>
    </w:p>
    <w:p w14:paraId="62D3DD4C">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1.3.2</w:t>
      </w:r>
      <w:r>
        <w:rPr>
          <w:rFonts w:hint="eastAsia" w:ascii="仿宋_GB2312" w:hAnsi="仿宋_GB2312" w:eastAsia="仿宋_GB2312" w:cs="仿宋_GB2312"/>
          <w:b/>
          <w:bCs/>
          <w:sz w:val="24"/>
        </w:rPr>
        <w:t>★</w:t>
      </w:r>
      <w:r>
        <w:rPr>
          <w:rFonts w:hint="eastAsia" w:ascii="仿宋_GB2312" w:hAnsi="仿宋_GB2312" w:eastAsia="仿宋_GB2312" w:cs="仿宋_GB2312"/>
          <w:sz w:val="24"/>
        </w:rPr>
        <w:t>试管规格：支持直径：12～18mm，长度：75～110mm；不受盖塞、材料限制；</w:t>
      </w:r>
    </w:p>
    <w:p w14:paraId="26A12507">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1.3.3</w:t>
      </w:r>
      <w:r>
        <w:rPr>
          <w:rFonts w:hint="eastAsia" w:ascii="仿宋_GB2312" w:hAnsi="仿宋_GB2312" w:eastAsia="仿宋_GB2312" w:cs="仿宋_GB2312"/>
          <w:b/>
          <w:bCs/>
          <w:sz w:val="24"/>
        </w:rPr>
        <w:t>★</w:t>
      </w:r>
      <w:r>
        <w:rPr>
          <w:rFonts w:hint="eastAsia" w:ascii="仿宋_GB2312" w:hAnsi="仿宋_GB2312" w:eastAsia="仿宋_GB2312" w:cs="仿宋_GB2312"/>
          <w:sz w:val="24"/>
        </w:rPr>
        <w:t>试管容量：≥400支/台，根据需求可定制1-10种品规试管，单机试管种类≥6种，每种≥50支；</w:t>
      </w:r>
    </w:p>
    <w:p w14:paraId="412E78D7">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1.3.4</w:t>
      </w:r>
      <w:r>
        <w:rPr>
          <w:rFonts w:hint="eastAsia" w:ascii="仿宋_GB2312" w:hAnsi="仿宋_GB2312" w:eastAsia="仿宋_GB2312" w:cs="仿宋_GB2312"/>
          <w:b/>
          <w:bCs/>
          <w:sz w:val="24"/>
        </w:rPr>
        <w:t>★</w:t>
      </w:r>
      <w:r>
        <w:rPr>
          <w:rFonts w:hint="eastAsia" w:ascii="仿宋_GB2312" w:hAnsi="仿宋_GB2312" w:eastAsia="仿宋_GB2312" w:cs="仿宋_GB2312"/>
          <w:sz w:val="24"/>
        </w:rPr>
        <w:t>处理能力：单机最大处理速度≥1200管/小时；保证抓管准确便捷，不卡管、不脱管，故障率低；</w:t>
      </w:r>
    </w:p>
    <w:p w14:paraId="3B50F5AA">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1.3.5 全自动备管机试管装载方式便捷，可不停机开放式续管；出管速度快，按照就诊患者整批出管，无漏管及贴管错误。</w:t>
      </w:r>
    </w:p>
    <w:p w14:paraId="561A85E0">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1.3.6自动备管机软件系统：</w:t>
      </w:r>
      <w:r>
        <w:rPr>
          <w:rFonts w:hint="eastAsia" w:ascii="仿宋_GB2312" w:hAnsi="仿宋_GB2312" w:eastAsia="仿宋_GB2312" w:cs="仿宋_GB2312"/>
          <w:sz w:val="24"/>
          <w:szCs w:val="24"/>
        </w:rPr>
        <w:t>软件系统可满足日常工作的功能要求，其中包含信息系统接口模块、相关数据处理模块、设备管理模块、数据统计模块等, 支持设备数据导出、储存、分析。</w:t>
      </w:r>
      <w:r>
        <w:rPr>
          <w:rFonts w:hint="eastAsia" w:ascii="仿宋_GB2312" w:hAnsi="仿宋_GB2312" w:eastAsia="仿宋_GB2312" w:cs="仿宋_GB2312"/>
          <w:sz w:val="24"/>
        </w:rPr>
        <w:t>具备向医院 HIS/LIS/体检系统反馈采血相关信息的功能，采血时间记录，满足临床实验室质量管理规范要求。</w:t>
      </w:r>
    </w:p>
    <w:p w14:paraId="4DCB1C85">
      <w:pPr>
        <w:pStyle w:val="2"/>
        <w:spacing w:line="360" w:lineRule="auto"/>
        <w:ind w:left="0" w:leftChars="0" w:firstLine="0" w:firstLineChars="0"/>
        <w:rPr>
          <w:rFonts w:ascii="仿宋_GB2312" w:hAnsi="仿宋_GB2312" w:eastAsia="仿宋_GB2312" w:cs="仿宋_GB2312"/>
          <w:sz w:val="24"/>
        </w:rPr>
      </w:pPr>
      <w:r>
        <w:rPr>
          <w:rFonts w:hint="eastAsia" w:ascii="仿宋_GB2312" w:hAnsi="仿宋_GB2312" w:eastAsia="仿宋_GB2312" w:cs="仿宋_GB2312"/>
          <w:sz w:val="24"/>
        </w:rPr>
        <w:t>1.4 配套附件</w:t>
      </w:r>
    </w:p>
    <w:p w14:paraId="0F0C03B3">
      <w:pPr>
        <w:pStyle w:val="2"/>
        <w:spacing w:line="360" w:lineRule="auto"/>
        <w:ind w:left="0" w:leftChars="0" w:firstLine="480"/>
        <w:rPr>
          <w:rFonts w:ascii="仿宋_GB2312" w:hAnsi="仿宋_GB2312" w:eastAsia="仿宋_GB2312" w:cs="仿宋_GB2312"/>
          <w:sz w:val="24"/>
        </w:rPr>
      </w:pPr>
      <w:r>
        <w:rPr>
          <w:rFonts w:hint="eastAsia" w:ascii="仿宋_GB2312" w:hAnsi="仿宋_GB2312" w:eastAsia="仿宋_GB2312" w:cs="仿宋_GB2312"/>
          <w:sz w:val="24"/>
        </w:rPr>
        <w:t>5个采血窗口专用附件，根据现场定制配套设备。包含采血平板/电脑、支架、条码打印机及扫码器等附件，配套系统需满足全流程智能采血管理要求。</w:t>
      </w:r>
    </w:p>
    <w:p w14:paraId="07BEF91B">
      <w:pPr>
        <w:pStyle w:val="2"/>
        <w:spacing w:line="360" w:lineRule="auto"/>
        <w:ind w:left="0" w:leftChars="0" w:firstLine="480"/>
        <w:rPr>
          <w:rFonts w:ascii="仿宋_GB2312" w:hAnsi="仿宋_GB2312" w:eastAsia="仿宋_GB2312" w:cs="仿宋_GB2312"/>
          <w:sz w:val="24"/>
        </w:rPr>
      </w:pPr>
      <w:r>
        <w:rPr>
          <w:rFonts w:hint="eastAsia" w:ascii="仿宋_GB2312" w:hAnsi="仿宋_GB2312" w:eastAsia="仿宋_GB2312" w:cs="仿宋_GB2312"/>
          <w:sz w:val="24"/>
        </w:rPr>
        <w:t>设备安装调试要求或系统集成要求（如有）：需保证与校医院体检及门诊LIS/HIS系统端口对接，并承担结果回传端口对接等产生的相关费用。</w:t>
      </w:r>
    </w:p>
    <w:p w14:paraId="1096CEE2">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（二）商务要求：</w:t>
      </w:r>
    </w:p>
    <w:p w14:paraId="5B5D0DAF">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1、交付时间（服务期限）：合同签订后15个工作日内设备到货，到货后3个工作日内完成安装、软硬件调试、系统联调与验收</w:t>
      </w:r>
    </w:p>
    <w:p w14:paraId="457BD643">
      <w:pPr>
        <w:snapToGrid w:val="0"/>
        <w:spacing w:line="520" w:lineRule="exact"/>
        <w:ind w:firstLine="480" w:firstLineChars="200"/>
        <w:rPr>
          <w:rFonts w:ascii="仿宋_GB2312" w:hAnsi="仿宋_GB2312" w:eastAsia="仿宋_GB2312" w:cs="仿宋_GB2312"/>
          <w:sz w:val="24"/>
        </w:rPr>
      </w:pPr>
      <w:r>
        <w:rPr>
          <w:rFonts w:hint="eastAsia" w:ascii="仿宋" w:hAnsi="仿宋" w:eastAsia="仿宋" w:cs="仿宋_GB2312"/>
          <w:sz w:val="24"/>
        </w:rPr>
        <w:t>■</w:t>
      </w:r>
      <w:r>
        <w:rPr>
          <w:rFonts w:hint="eastAsia" w:ascii="仿宋_GB2312" w:hAnsi="仿宋_GB2312" w:eastAsia="仿宋_GB2312" w:cs="仿宋_GB2312"/>
          <w:sz w:val="24"/>
        </w:rPr>
        <w:t>合同签订后天内完成实施要求并具备验收条件。</w:t>
      </w:r>
    </w:p>
    <w:p w14:paraId="0D662D80">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服务期限自合同签订起1年。</w:t>
      </w:r>
    </w:p>
    <w:p w14:paraId="1849DAE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p>
    <w:p w14:paraId="2DCFCC58">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2、交付地点（服务地点）：北京市海淀区学院路37号北京航空航天大学校医院及沙河校医院。</w:t>
      </w:r>
    </w:p>
    <w:p w14:paraId="2AF25D56">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3、包装运输（如有）：供应商负责设备的供货、运输、卸货、安装等。</w:t>
      </w:r>
    </w:p>
    <w:p w14:paraId="694F1EE0">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4、售后服务（如有）：质保期2年、终身成本价维修，工程师现场操作维护培训等。</w:t>
      </w:r>
    </w:p>
    <w:p w14:paraId="1B5BC85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5、培训方案（如有）：提供完整培训方案。</w:t>
      </w:r>
    </w:p>
    <w:p w14:paraId="42F13EB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6、人员资质要求（如有）：技术人员需有相关检测资质。</w:t>
      </w:r>
    </w:p>
    <w:p w14:paraId="74449CD4">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7、保险：保险费由供应商承担。    </w:t>
      </w:r>
    </w:p>
    <w:p w14:paraId="44C0DAB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8、其他：   </w:t>
      </w:r>
    </w:p>
    <w:p w14:paraId="41723C1B">
      <w:pPr>
        <w:snapToGrid w:val="0"/>
        <w:spacing w:line="520" w:lineRule="exact"/>
        <w:ind w:firstLine="482" w:firstLineChars="200"/>
        <w:rPr>
          <w:sz w:val="20"/>
          <w:szCs w:val="22"/>
        </w:rPr>
      </w:pPr>
      <w:r>
        <w:rPr>
          <w:rFonts w:hint="eastAsia" w:ascii="仿宋_GB2312" w:hAnsi="仿宋_GB2312" w:eastAsia="仿宋_GB2312" w:cs="仿宋_GB2312"/>
          <w:b/>
          <w:bCs/>
          <w:sz w:val="24"/>
        </w:rPr>
        <w:t>（三）验收要求：</w:t>
      </w:r>
      <w:r>
        <w:rPr>
          <w:rFonts w:hint="eastAsia" w:ascii="仿宋_GB2312" w:hAnsi="仿宋_GB2312" w:eastAsia="仿宋_GB2312" w:cs="仿宋_GB2312"/>
          <w:sz w:val="24"/>
        </w:rPr>
        <w:t>。</w:t>
      </w:r>
    </w:p>
    <w:p w14:paraId="05B1CD82">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（四）付款方式及履约保证金：</w:t>
      </w:r>
    </w:p>
    <w:p w14:paraId="492089EF">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一次性付款，即：供应商交货并安装、调试完成，经采购人验收合格后，采购人支付100%合同金额，同时乙方提供相应发票。</w:t>
      </w:r>
    </w:p>
    <w:p w14:paraId="3329F369">
      <w:pPr>
        <w:snapToGrid w:val="0"/>
        <w:spacing w:line="520" w:lineRule="exact"/>
        <w:ind w:firstLine="480" w:firstLineChars="200"/>
        <w:rPr>
          <w:rFonts w:ascii="仿宋_GB2312" w:hAnsi="仿宋_GB2312" w:eastAsia="仿宋_GB2312" w:cs="仿宋_GB2312"/>
          <w:sz w:val="24"/>
        </w:rPr>
      </w:pPr>
      <w:r>
        <w:rPr>
          <w:rFonts w:hint="eastAsia" w:ascii="仿宋" w:hAnsi="仿宋" w:eastAsia="仿宋" w:cs="仿宋_GB2312"/>
          <w:sz w:val="24"/>
        </w:rPr>
        <w:t>■</w:t>
      </w:r>
      <w:r>
        <w:rPr>
          <w:rFonts w:hint="eastAsia" w:ascii="仿宋_GB2312" w:hAnsi="仿宋_GB2312" w:eastAsia="仿宋_GB2312" w:cs="仿宋_GB2312"/>
          <w:sz w:val="24"/>
        </w:rPr>
        <w:t>分期付款，合同签订个工作日内采购人向供应商支付合同总价的50%的首付款；货物调试且验收合格后，采购人支付合同总价的45%，验收合格正常使用6个月，没有质量问题，采购人向供应商支付合同总价的5%。</w:t>
      </w:r>
    </w:p>
    <w:p w14:paraId="270C374B">
      <w:pPr>
        <w:pStyle w:val="2"/>
      </w:pPr>
    </w:p>
    <w:p w14:paraId="5F7726F6">
      <w:pPr>
        <w:widowControl/>
        <w:jc w:val="left"/>
        <w:rPr>
          <w:rFonts w:ascii="仿宋_GB2312" w:hAnsi="仿宋_GB2312" w:eastAsia="仿宋_GB2312" w:cs="仿宋_GB2312"/>
          <w:sz w:val="24"/>
        </w:rPr>
      </w:pPr>
      <w:r>
        <w:rPr>
          <w:rFonts w:ascii="仿宋_GB2312" w:hAnsi="仿宋_GB2312" w:eastAsia="仿宋_GB2312" w:cs="仿宋_GB2312"/>
          <w:sz w:val="24"/>
        </w:rPr>
        <w:br w:type="page"/>
      </w:r>
    </w:p>
    <w:p w14:paraId="252F9B25">
      <w:pPr>
        <w:pStyle w:val="2"/>
        <w:ind w:left="0" w:leftChars="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附件1：采购标的报价单</w:t>
      </w:r>
    </w:p>
    <w:p w14:paraId="17EF54ED">
      <w:pPr>
        <w:jc w:val="center"/>
        <w:rPr>
          <w:rFonts w:hint="eastAsia" w:ascii="黑体" w:eastAsia="黑体"/>
          <w:b/>
          <w:sz w:val="32"/>
          <w:szCs w:val="32"/>
        </w:rPr>
      </w:pPr>
    </w:p>
    <w:p w14:paraId="4EB83B6F">
      <w:pPr>
        <w:jc w:val="center"/>
        <w:rPr>
          <w:rFonts w:ascii="黑体" w:eastAsia="黑体"/>
          <w:b/>
          <w:sz w:val="32"/>
          <w:szCs w:val="32"/>
        </w:rPr>
      </w:pPr>
      <w:r>
        <w:rPr>
          <w:rFonts w:hint="eastAsia" w:ascii="黑体" w:eastAsia="黑体"/>
          <w:b/>
          <w:sz w:val="32"/>
          <w:szCs w:val="32"/>
        </w:rPr>
        <w:t>北航校医院全流程智能标本备管设备及系统采购报价单</w:t>
      </w:r>
    </w:p>
    <w:p w14:paraId="26B2A76F">
      <w:pPr>
        <w:rPr>
          <w:rFonts w:hint="eastAsia" w:ascii="华文楷体" w:hAnsi="华文楷体" w:eastAsia="华文楷体"/>
          <w:b/>
          <w:bCs/>
          <w:sz w:val="28"/>
          <w:szCs w:val="28"/>
        </w:rPr>
      </w:pPr>
    </w:p>
    <w:p w14:paraId="346889DD">
      <w:r>
        <w:rPr>
          <w:rFonts w:hint="eastAsia" w:ascii="华文楷体" w:hAnsi="华文楷体" w:eastAsia="华文楷体"/>
          <w:b/>
          <w:bCs/>
          <w:sz w:val="28"/>
          <w:szCs w:val="28"/>
        </w:rPr>
        <w:t>供应商：____________________（加盖单位公章）</w:t>
      </w:r>
    </w:p>
    <w:tbl>
      <w:tblPr>
        <w:tblStyle w:val="14"/>
        <w:tblW w:w="58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829"/>
        <w:gridCol w:w="1841"/>
        <w:gridCol w:w="956"/>
        <w:gridCol w:w="1510"/>
        <w:gridCol w:w="1992"/>
      </w:tblGrid>
      <w:tr w14:paraId="5967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18" w:type="pct"/>
            <w:vAlign w:val="center"/>
          </w:tcPr>
          <w:p w14:paraId="544A9AFC">
            <w:pPr>
              <w:spacing w:line="360" w:lineRule="auto"/>
              <w:jc w:val="center"/>
              <w:rPr>
                <w:rFonts w:ascii="宋体" w:hAnsi="宋体"/>
                <w:bCs/>
                <w:szCs w:val="21"/>
              </w:rPr>
            </w:pPr>
            <w:r>
              <w:rPr>
                <w:rFonts w:hint="eastAsia" w:ascii="宋体" w:hAnsi="宋体"/>
                <w:bCs/>
                <w:szCs w:val="21"/>
              </w:rPr>
              <w:t>序号</w:t>
            </w:r>
          </w:p>
        </w:tc>
        <w:tc>
          <w:tcPr>
            <w:tcW w:w="1420" w:type="pct"/>
            <w:vAlign w:val="center"/>
          </w:tcPr>
          <w:p w14:paraId="4C80C861">
            <w:pPr>
              <w:spacing w:line="360" w:lineRule="auto"/>
              <w:jc w:val="center"/>
              <w:rPr>
                <w:rFonts w:ascii="宋体" w:hAnsi="宋体"/>
                <w:bCs/>
                <w:szCs w:val="21"/>
              </w:rPr>
            </w:pPr>
            <w:r>
              <w:rPr>
                <w:rFonts w:hint="eastAsia" w:ascii="宋体" w:hAnsi="宋体"/>
                <w:bCs/>
                <w:szCs w:val="21"/>
              </w:rPr>
              <w:t>服务内容</w:t>
            </w:r>
          </w:p>
        </w:tc>
        <w:tc>
          <w:tcPr>
            <w:tcW w:w="924" w:type="pct"/>
            <w:vAlign w:val="center"/>
          </w:tcPr>
          <w:p w14:paraId="4D392289">
            <w:pPr>
              <w:spacing w:line="360" w:lineRule="auto"/>
              <w:jc w:val="center"/>
              <w:rPr>
                <w:rFonts w:ascii="宋体" w:hAnsi="宋体"/>
                <w:bCs/>
                <w:szCs w:val="21"/>
              </w:rPr>
            </w:pPr>
            <w:r>
              <w:rPr>
                <w:rFonts w:hint="eastAsia" w:ascii="宋体" w:hAnsi="宋体"/>
                <w:bCs/>
                <w:szCs w:val="21"/>
              </w:rPr>
              <w:t>数量（例）</w:t>
            </w:r>
          </w:p>
        </w:tc>
        <w:tc>
          <w:tcPr>
            <w:tcW w:w="480" w:type="pct"/>
            <w:vAlign w:val="center"/>
          </w:tcPr>
          <w:p w14:paraId="5BD77E96">
            <w:pPr>
              <w:spacing w:line="360" w:lineRule="auto"/>
              <w:jc w:val="center"/>
              <w:rPr>
                <w:rFonts w:ascii="宋体" w:hAnsi="宋体"/>
                <w:bCs/>
                <w:szCs w:val="21"/>
              </w:rPr>
            </w:pPr>
            <w:r>
              <w:rPr>
                <w:rFonts w:hint="eastAsia" w:ascii="宋体" w:hAnsi="宋体"/>
                <w:bCs/>
                <w:szCs w:val="21"/>
              </w:rPr>
              <w:t>单位</w:t>
            </w:r>
          </w:p>
        </w:tc>
        <w:tc>
          <w:tcPr>
            <w:tcW w:w="758" w:type="pct"/>
            <w:vAlign w:val="center"/>
          </w:tcPr>
          <w:p w14:paraId="2D0BDF6D">
            <w:pPr>
              <w:spacing w:line="360" w:lineRule="auto"/>
              <w:jc w:val="center"/>
              <w:rPr>
                <w:rFonts w:ascii="宋体" w:hAnsi="宋体"/>
                <w:bCs/>
                <w:szCs w:val="21"/>
              </w:rPr>
            </w:pPr>
            <w:r>
              <w:rPr>
                <w:rFonts w:hint="eastAsia" w:ascii="宋体" w:hAnsi="宋体"/>
                <w:bCs/>
                <w:szCs w:val="21"/>
              </w:rPr>
              <w:t>单价（元）</w:t>
            </w:r>
          </w:p>
        </w:tc>
        <w:tc>
          <w:tcPr>
            <w:tcW w:w="1000" w:type="pct"/>
            <w:vAlign w:val="center"/>
          </w:tcPr>
          <w:p w14:paraId="0008A5DF">
            <w:pPr>
              <w:spacing w:line="360" w:lineRule="auto"/>
              <w:jc w:val="center"/>
              <w:rPr>
                <w:rFonts w:ascii="宋体" w:hAnsi="宋体"/>
                <w:bCs/>
                <w:szCs w:val="21"/>
              </w:rPr>
            </w:pPr>
            <w:r>
              <w:rPr>
                <w:rFonts w:hint="eastAsia" w:ascii="宋体" w:hAnsi="宋体"/>
                <w:bCs/>
                <w:szCs w:val="21"/>
              </w:rPr>
              <w:t>备注</w:t>
            </w:r>
          </w:p>
        </w:tc>
      </w:tr>
      <w:tr w14:paraId="2A0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418" w:type="pct"/>
            <w:vAlign w:val="center"/>
          </w:tcPr>
          <w:p w14:paraId="673C3E57">
            <w:pPr>
              <w:spacing w:line="360" w:lineRule="auto"/>
              <w:jc w:val="center"/>
              <w:rPr>
                <w:rFonts w:ascii="宋体" w:hAnsi="宋体"/>
                <w:bCs/>
                <w:szCs w:val="21"/>
              </w:rPr>
            </w:pPr>
            <w:r>
              <w:rPr>
                <w:rFonts w:hint="eastAsia" w:ascii="宋体" w:hAnsi="宋体"/>
                <w:bCs/>
                <w:szCs w:val="21"/>
              </w:rPr>
              <w:t>1</w:t>
            </w:r>
          </w:p>
        </w:tc>
        <w:tc>
          <w:tcPr>
            <w:tcW w:w="1420" w:type="pct"/>
            <w:vAlign w:val="center"/>
          </w:tcPr>
          <w:p w14:paraId="2986A611">
            <w:pPr>
              <w:widowControl/>
              <w:jc w:val="center"/>
              <w:rPr>
                <w:rFonts w:ascii="宋体" w:hAnsi="宋体" w:cs="宋体"/>
                <w:color w:val="000000"/>
                <w:kern w:val="0"/>
                <w:szCs w:val="21"/>
              </w:rPr>
            </w:pPr>
            <w:r>
              <w:rPr>
                <w:rFonts w:hint="eastAsia" w:ascii="仿宋_GB2312" w:hAnsi="仿宋_GB2312" w:eastAsia="仿宋_GB2312" w:cs="仿宋_GB2312"/>
                <w:sz w:val="24"/>
              </w:rPr>
              <w:t>北航校医院全流程智能标本备管设备</w:t>
            </w:r>
          </w:p>
        </w:tc>
        <w:tc>
          <w:tcPr>
            <w:tcW w:w="924" w:type="pct"/>
            <w:vAlign w:val="center"/>
          </w:tcPr>
          <w:p w14:paraId="7115D1EC">
            <w:pPr>
              <w:spacing w:line="360" w:lineRule="auto"/>
              <w:rPr>
                <w:rFonts w:ascii="宋体" w:hAnsi="宋体"/>
                <w:bCs/>
                <w:szCs w:val="21"/>
              </w:rPr>
            </w:pPr>
          </w:p>
        </w:tc>
        <w:tc>
          <w:tcPr>
            <w:tcW w:w="480" w:type="pct"/>
            <w:vAlign w:val="center"/>
          </w:tcPr>
          <w:p w14:paraId="4804ABA1">
            <w:pPr>
              <w:spacing w:line="360" w:lineRule="auto"/>
              <w:jc w:val="center"/>
              <w:rPr>
                <w:rFonts w:ascii="宋体" w:hAnsi="宋体"/>
                <w:bCs/>
                <w:szCs w:val="21"/>
              </w:rPr>
            </w:pPr>
          </w:p>
        </w:tc>
        <w:tc>
          <w:tcPr>
            <w:tcW w:w="758" w:type="pct"/>
            <w:vAlign w:val="center"/>
          </w:tcPr>
          <w:p w14:paraId="38EC75BF">
            <w:pPr>
              <w:spacing w:line="360" w:lineRule="auto"/>
              <w:rPr>
                <w:rFonts w:ascii="宋体" w:hAnsi="宋体"/>
                <w:bCs/>
                <w:szCs w:val="21"/>
              </w:rPr>
            </w:pPr>
          </w:p>
        </w:tc>
        <w:tc>
          <w:tcPr>
            <w:tcW w:w="1000" w:type="pct"/>
            <w:vAlign w:val="center"/>
          </w:tcPr>
          <w:p w14:paraId="0CFD1041">
            <w:pPr>
              <w:spacing w:line="360" w:lineRule="auto"/>
              <w:jc w:val="center"/>
              <w:rPr>
                <w:rFonts w:ascii="宋体" w:hAnsi="宋体"/>
                <w:bCs/>
                <w:szCs w:val="21"/>
              </w:rPr>
            </w:pPr>
            <w:r>
              <w:rPr>
                <w:rFonts w:hint="eastAsia" w:ascii="宋体" w:hAnsi="宋体"/>
                <w:bCs/>
                <w:szCs w:val="21"/>
              </w:rPr>
              <w:t>内容详见技术要求</w:t>
            </w:r>
          </w:p>
        </w:tc>
      </w:tr>
    </w:tbl>
    <w:p w14:paraId="5D49E0D9">
      <w:pPr>
        <w:pStyle w:val="2"/>
        <w:ind w:left="0" w:leftChars="0" w:firstLine="0" w:firstLineChars="0"/>
        <w:rPr>
          <w:rFonts w:ascii="宋体" w:hAnsi="宋体"/>
          <w:sz w:val="24"/>
          <w:szCs w:val="24"/>
        </w:rPr>
      </w:pPr>
    </w:p>
    <w:p w14:paraId="60CEBF38">
      <w:pPr>
        <w:pStyle w:val="2"/>
        <w:ind w:left="0" w:leftChars="0" w:firstLine="0" w:firstLineChars="0"/>
        <w:rPr>
          <w:rFonts w:ascii="宋体" w:hAnsi="宋体"/>
          <w:sz w:val="24"/>
          <w:szCs w:val="24"/>
        </w:rPr>
      </w:pPr>
      <w:r>
        <w:rPr>
          <w:rFonts w:hint="eastAsia" w:ascii="宋体" w:hAnsi="宋体"/>
          <w:sz w:val="24"/>
          <w:szCs w:val="24"/>
        </w:rPr>
        <w:t>供应商授权代表(签字</w:t>
      </w:r>
      <w:r>
        <w:rPr>
          <w:rFonts w:ascii="宋体" w:hAnsi="宋体"/>
          <w:sz w:val="24"/>
          <w:szCs w:val="24"/>
        </w:rPr>
        <w:t>)</w:t>
      </w:r>
      <w:r>
        <w:rPr>
          <w:rFonts w:hint="eastAsia" w:ascii="宋体" w:hAnsi="宋体"/>
          <w:sz w:val="24"/>
          <w:szCs w:val="24"/>
        </w:rPr>
        <w:t>：_</w:t>
      </w:r>
      <w:r>
        <w:rPr>
          <w:rFonts w:ascii="宋体" w:hAnsi="宋体"/>
          <w:sz w:val="24"/>
          <w:szCs w:val="24"/>
        </w:rPr>
        <w:t>____________________</w:t>
      </w:r>
    </w:p>
    <w:p w14:paraId="292E84B1">
      <w:pPr>
        <w:pStyle w:val="2"/>
        <w:ind w:left="0" w:leftChars="0" w:firstLine="0" w:firstLineChars="0"/>
        <w:rPr>
          <w:rFonts w:ascii="宋体" w:hAnsi="宋体"/>
          <w:sz w:val="24"/>
          <w:szCs w:val="24"/>
        </w:rPr>
      </w:pPr>
      <w:r>
        <w:rPr>
          <w:rFonts w:hint="eastAsia" w:ascii="宋体" w:hAnsi="宋体"/>
          <w:sz w:val="24"/>
          <w:szCs w:val="24"/>
        </w:rPr>
        <w:t>联系电话：</w:t>
      </w:r>
    </w:p>
    <w:p w14:paraId="3A881374">
      <w:pPr>
        <w:pStyle w:val="2"/>
        <w:ind w:left="0" w:leftChars="0" w:firstLine="0" w:firstLineChars="0"/>
        <w:rPr>
          <w:rFonts w:ascii="仿宋_GB2312" w:hAnsi="仿宋_GB2312" w:eastAsia="仿宋_GB2312" w:cs="仿宋_GB2312"/>
          <w:sz w:val="24"/>
          <w:szCs w:val="24"/>
        </w:rPr>
      </w:pPr>
      <w:r>
        <w:rPr>
          <w:rFonts w:hint="eastAsia" w:ascii="宋体" w:hAnsi="宋体"/>
          <w:sz w:val="24"/>
          <w:szCs w:val="24"/>
        </w:rPr>
        <w:t>备注</w:t>
      </w:r>
      <w:r>
        <w:rPr>
          <w:rFonts w:hint="eastAsia"/>
          <w:spacing w:val="-9"/>
          <w:sz w:val="24"/>
          <w:szCs w:val="24"/>
        </w:rPr>
        <w:t>：</w:t>
      </w:r>
    </w:p>
    <w:sectPr>
      <w:headerReference r:id="rId3" w:type="default"/>
      <w:footerReference r:id="rId4" w:type="default"/>
      <w:pgSz w:w="11900" w:h="16840"/>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2A98D">
    <w:pPr>
      <w:pStyle w:val="10"/>
    </w:pPr>
    <w:r>
      <w:pict>
        <v:shape id="文本框 4"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TSrQEAAD8DAAAOAAAAZHJzL2Uyb0RvYy54bWysUs2OEzEMviPxDlHuNLMVQtWo09Wi1SIk&#10;BEgLD5Bmkk6kJI7ibGf6AvAGnLhw57n6HDjptMvPDe0lcWzn8/fZXl9P3rG9TmghdPxq0XCmg4Le&#10;hl3HP3+6e7HiDLMMvXQQdMcPGvn15vmz9RhbvYQBXK8TI5CA7Rg7PuQcWyFQDdpLXEDUgYIGkpeZ&#10;nmkn+iRHQvdOLJvmlRgh9TGB0ojkvT0F+abiG6NV/mAM6sxcx4lbrmeq57acYrOW7S7JOFg105D/&#10;wcJLG6joBepWZskekv0HyluVAMHkhQIvwBirdNVAaq6av9TcDzLqqoWag/HSJnw6WPV+/zEx29Ps&#10;OAvS04iO374ev/88/vjCXpb2jBFbyrqPlJen1zCV1NmP5CyqJ5N8uUkPozg1+nBprp4yU+XTarla&#10;NRRSFDs/CEc8fo8J8xsNnhWj44mmV5sq9+8wn1LPKaVagDvrHPll68IfDsIsHlG4nzgWK0/baSa+&#10;hf5AekYafMcDbSZn7m2gvpYdORvpbGxno9TAePOQqXDlU1BPUHMxmlJVNG9UWYPf3zXrce83v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9X3k0q0BAAA/AwAADgAAAAAAAAAAAAAAAAAuAgAAZHJzL2Uyb0RvYy54bWxQSwECLQAUAAYA&#10;CAAAACEADErw7tYAAAAFAQAADwAAAAAAAAAAAAAAAAAHBAAAZHJzL2Rvd25yZXYueG1sUEsFBgAA&#10;AAAEAAQA8wAAAAoFAAAAAA==&#10;">
          <v:path/>
          <v:fill on="f" focussize="0,0"/>
          <v:stroke on="f" joinstyle="miter"/>
          <v:imagedata o:title=""/>
          <o:lock v:ext="edit"/>
          <v:textbox inset="0mm,0mm,0mm,0mm" style="mso-fit-shape-to-text:t;">
            <w:txbxContent>
              <w:p w14:paraId="349B3220">
                <w:pPr>
                  <w:pStyle w:val="10"/>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3594A">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419"/>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zZGM3NjU1ZGIzYzI3NWQ0MmFiNjdkNDAzMTI3YTQifQ=="/>
  </w:docVars>
  <w:rsids>
    <w:rsidRoot w:val="008F294C"/>
    <w:rsid w:val="00017EC7"/>
    <w:rsid w:val="000234E1"/>
    <w:rsid w:val="00033C45"/>
    <w:rsid w:val="0004169C"/>
    <w:rsid w:val="0005284C"/>
    <w:rsid w:val="00054AA8"/>
    <w:rsid w:val="00064423"/>
    <w:rsid w:val="000759D2"/>
    <w:rsid w:val="000762D5"/>
    <w:rsid w:val="00082CEB"/>
    <w:rsid w:val="000914B2"/>
    <w:rsid w:val="000935C6"/>
    <w:rsid w:val="000A30C3"/>
    <w:rsid w:val="000A46E5"/>
    <w:rsid w:val="000A7AFC"/>
    <w:rsid w:val="000B2854"/>
    <w:rsid w:val="000C269B"/>
    <w:rsid w:val="000C429D"/>
    <w:rsid w:val="000D6DBC"/>
    <w:rsid w:val="001003C8"/>
    <w:rsid w:val="00112CC3"/>
    <w:rsid w:val="0011378F"/>
    <w:rsid w:val="00122BF7"/>
    <w:rsid w:val="001250A0"/>
    <w:rsid w:val="001260A5"/>
    <w:rsid w:val="00131311"/>
    <w:rsid w:val="00133B29"/>
    <w:rsid w:val="0016016F"/>
    <w:rsid w:val="00165255"/>
    <w:rsid w:val="00177598"/>
    <w:rsid w:val="00182005"/>
    <w:rsid w:val="00182AA9"/>
    <w:rsid w:val="001834EA"/>
    <w:rsid w:val="001A380C"/>
    <w:rsid w:val="001A516B"/>
    <w:rsid w:val="001B06FE"/>
    <w:rsid w:val="001B3B15"/>
    <w:rsid w:val="001C20F4"/>
    <w:rsid w:val="001E5547"/>
    <w:rsid w:val="001E6D9B"/>
    <w:rsid w:val="001F72EA"/>
    <w:rsid w:val="002001EF"/>
    <w:rsid w:val="0021101D"/>
    <w:rsid w:val="002169C6"/>
    <w:rsid w:val="002175D5"/>
    <w:rsid w:val="0022176A"/>
    <w:rsid w:val="002243FA"/>
    <w:rsid w:val="00234EE2"/>
    <w:rsid w:val="0024538F"/>
    <w:rsid w:val="0025311A"/>
    <w:rsid w:val="00254F64"/>
    <w:rsid w:val="00255E05"/>
    <w:rsid w:val="00264005"/>
    <w:rsid w:val="00276DCD"/>
    <w:rsid w:val="00280A6A"/>
    <w:rsid w:val="002A1370"/>
    <w:rsid w:val="002B2DCF"/>
    <w:rsid w:val="002C181E"/>
    <w:rsid w:val="002C284F"/>
    <w:rsid w:val="002C3634"/>
    <w:rsid w:val="002D1DB4"/>
    <w:rsid w:val="002D5ACE"/>
    <w:rsid w:val="002E4D1F"/>
    <w:rsid w:val="002E680B"/>
    <w:rsid w:val="003140E9"/>
    <w:rsid w:val="00314F7E"/>
    <w:rsid w:val="00317C9C"/>
    <w:rsid w:val="00320369"/>
    <w:rsid w:val="003216C6"/>
    <w:rsid w:val="0032514A"/>
    <w:rsid w:val="00325CB0"/>
    <w:rsid w:val="003375F2"/>
    <w:rsid w:val="003437B1"/>
    <w:rsid w:val="0035465B"/>
    <w:rsid w:val="00362B69"/>
    <w:rsid w:val="00380451"/>
    <w:rsid w:val="00381179"/>
    <w:rsid w:val="00385822"/>
    <w:rsid w:val="00385995"/>
    <w:rsid w:val="00386478"/>
    <w:rsid w:val="003928D9"/>
    <w:rsid w:val="003A706B"/>
    <w:rsid w:val="003B1639"/>
    <w:rsid w:val="003B3054"/>
    <w:rsid w:val="003B6303"/>
    <w:rsid w:val="003D1299"/>
    <w:rsid w:val="003E1E7D"/>
    <w:rsid w:val="003E413B"/>
    <w:rsid w:val="003F1552"/>
    <w:rsid w:val="003F1CC5"/>
    <w:rsid w:val="003F60A1"/>
    <w:rsid w:val="00412469"/>
    <w:rsid w:val="00424A2A"/>
    <w:rsid w:val="00430F1C"/>
    <w:rsid w:val="004352C7"/>
    <w:rsid w:val="00452D38"/>
    <w:rsid w:val="004678AA"/>
    <w:rsid w:val="00475E63"/>
    <w:rsid w:val="004765E2"/>
    <w:rsid w:val="0048273F"/>
    <w:rsid w:val="00497597"/>
    <w:rsid w:val="004C5CC1"/>
    <w:rsid w:val="004D3A69"/>
    <w:rsid w:val="004D5BDC"/>
    <w:rsid w:val="004E0223"/>
    <w:rsid w:val="004F051E"/>
    <w:rsid w:val="004F0BA3"/>
    <w:rsid w:val="004F6B91"/>
    <w:rsid w:val="005030DA"/>
    <w:rsid w:val="005054ED"/>
    <w:rsid w:val="0050637C"/>
    <w:rsid w:val="00513686"/>
    <w:rsid w:val="005168A8"/>
    <w:rsid w:val="00527CAA"/>
    <w:rsid w:val="00535489"/>
    <w:rsid w:val="00564C6D"/>
    <w:rsid w:val="005661F2"/>
    <w:rsid w:val="00572F3B"/>
    <w:rsid w:val="00597A7C"/>
    <w:rsid w:val="005A0F61"/>
    <w:rsid w:val="005A55DD"/>
    <w:rsid w:val="005A5926"/>
    <w:rsid w:val="005B5697"/>
    <w:rsid w:val="005C43B4"/>
    <w:rsid w:val="005C501F"/>
    <w:rsid w:val="005C71D6"/>
    <w:rsid w:val="005D518E"/>
    <w:rsid w:val="005E5BAC"/>
    <w:rsid w:val="005E6495"/>
    <w:rsid w:val="005F4DB6"/>
    <w:rsid w:val="00600E35"/>
    <w:rsid w:val="0060634A"/>
    <w:rsid w:val="00653B6E"/>
    <w:rsid w:val="006565DE"/>
    <w:rsid w:val="00663784"/>
    <w:rsid w:val="006654FA"/>
    <w:rsid w:val="00666518"/>
    <w:rsid w:val="00676741"/>
    <w:rsid w:val="006779B2"/>
    <w:rsid w:val="006815F0"/>
    <w:rsid w:val="00686A11"/>
    <w:rsid w:val="00696C70"/>
    <w:rsid w:val="006A4FB4"/>
    <w:rsid w:val="006A7115"/>
    <w:rsid w:val="006A78FE"/>
    <w:rsid w:val="006B3A41"/>
    <w:rsid w:val="006C3C95"/>
    <w:rsid w:val="006E23F4"/>
    <w:rsid w:val="006E33C8"/>
    <w:rsid w:val="006E4B91"/>
    <w:rsid w:val="006F1648"/>
    <w:rsid w:val="00710B61"/>
    <w:rsid w:val="0072195B"/>
    <w:rsid w:val="007313CB"/>
    <w:rsid w:val="00731FD4"/>
    <w:rsid w:val="007321CB"/>
    <w:rsid w:val="00744051"/>
    <w:rsid w:val="00745DA6"/>
    <w:rsid w:val="0074702B"/>
    <w:rsid w:val="00747877"/>
    <w:rsid w:val="00754A6F"/>
    <w:rsid w:val="007608DB"/>
    <w:rsid w:val="00762CDC"/>
    <w:rsid w:val="007726AA"/>
    <w:rsid w:val="007811BD"/>
    <w:rsid w:val="0078233B"/>
    <w:rsid w:val="007879F5"/>
    <w:rsid w:val="00790ECC"/>
    <w:rsid w:val="00795440"/>
    <w:rsid w:val="007C4AED"/>
    <w:rsid w:val="007C68B1"/>
    <w:rsid w:val="007D099C"/>
    <w:rsid w:val="007D196C"/>
    <w:rsid w:val="007F21E3"/>
    <w:rsid w:val="008022F2"/>
    <w:rsid w:val="0080439A"/>
    <w:rsid w:val="00805922"/>
    <w:rsid w:val="0081176D"/>
    <w:rsid w:val="00841D3F"/>
    <w:rsid w:val="00842F90"/>
    <w:rsid w:val="00860E4A"/>
    <w:rsid w:val="008825E7"/>
    <w:rsid w:val="008901D2"/>
    <w:rsid w:val="0089687D"/>
    <w:rsid w:val="0089739C"/>
    <w:rsid w:val="008B4A24"/>
    <w:rsid w:val="008C41B2"/>
    <w:rsid w:val="008C5AF7"/>
    <w:rsid w:val="008D588C"/>
    <w:rsid w:val="008E1949"/>
    <w:rsid w:val="008F0659"/>
    <w:rsid w:val="008F294C"/>
    <w:rsid w:val="009004DB"/>
    <w:rsid w:val="00900D96"/>
    <w:rsid w:val="00901872"/>
    <w:rsid w:val="0092002C"/>
    <w:rsid w:val="00925546"/>
    <w:rsid w:val="0093669A"/>
    <w:rsid w:val="00937842"/>
    <w:rsid w:val="0095000D"/>
    <w:rsid w:val="009545E5"/>
    <w:rsid w:val="0095637E"/>
    <w:rsid w:val="00965317"/>
    <w:rsid w:val="0097786F"/>
    <w:rsid w:val="009778C7"/>
    <w:rsid w:val="0098513C"/>
    <w:rsid w:val="00986ACA"/>
    <w:rsid w:val="00987B4F"/>
    <w:rsid w:val="0099226A"/>
    <w:rsid w:val="00997874"/>
    <w:rsid w:val="009A3AD1"/>
    <w:rsid w:val="009B15EB"/>
    <w:rsid w:val="009B5406"/>
    <w:rsid w:val="009D1CFC"/>
    <w:rsid w:val="009D6B77"/>
    <w:rsid w:val="009E5390"/>
    <w:rsid w:val="009E7300"/>
    <w:rsid w:val="009F176F"/>
    <w:rsid w:val="00A01D02"/>
    <w:rsid w:val="00A03559"/>
    <w:rsid w:val="00A05454"/>
    <w:rsid w:val="00A13316"/>
    <w:rsid w:val="00A153A7"/>
    <w:rsid w:val="00A25522"/>
    <w:rsid w:val="00A27F8C"/>
    <w:rsid w:val="00A34C14"/>
    <w:rsid w:val="00A4209E"/>
    <w:rsid w:val="00A43AC6"/>
    <w:rsid w:val="00A43E15"/>
    <w:rsid w:val="00A52B45"/>
    <w:rsid w:val="00A60009"/>
    <w:rsid w:val="00A64B7B"/>
    <w:rsid w:val="00A64EC4"/>
    <w:rsid w:val="00A746D3"/>
    <w:rsid w:val="00A75A4B"/>
    <w:rsid w:val="00A8672B"/>
    <w:rsid w:val="00A952E3"/>
    <w:rsid w:val="00AA1006"/>
    <w:rsid w:val="00AA6664"/>
    <w:rsid w:val="00AC0453"/>
    <w:rsid w:val="00AE6905"/>
    <w:rsid w:val="00AF17C0"/>
    <w:rsid w:val="00AF337A"/>
    <w:rsid w:val="00B24488"/>
    <w:rsid w:val="00B270BA"/>
    <w:rsid w:val="00B357F6"/>
    <w:rsid w:val="00B37B18"/>
    <w:rsid w:val="00B502AC"/>
    <w:rsid w:val="00B622C3"/>
    <w:rsid w:val="00B705A2"/>
    <w:rsid w:val="00B72002"/>
    <w:rsid w:val="00B739CA"/>
    <w:rsid w:val="00B968B6"/>
    <w:rsid w:val="00BB3355"/>
    <w:rsid w:val="00BB498B"/>
    <w:rsid w:val="00BB5781"/>
    <w:rsid w:val="00BC1838"/>
    <w:rsid w:val="00BC4524"/>
    <w:rsid w:val="00BD789C"/>
    <w:rsid w:val="00BD78F8"/>
    <w:rsid w:val="00BE1A28"/>
    <w:rsid w:val="00BE4E22"/>
    <w:rsid w:val="00BF0305"/>
    <w:rsid w:val="00BF7FD4"/>
    <w:rsid w:val="00C00265"/>
    <w:rsid w:val="00C009EC"/>
    <w:rsid w:val="00C03FA4"/>
    <w:rsid w:val="00C119F8"/>
    <w:rsid w:val="00C13FE9"/>
    <w:rsid w:val="00C3667D"/>
    <w:rsid w:val="00C43776"/>
    <w:rsid w:val="00C55A1E"/>
    <w:rsid w:val="00C62E68"/>
    <w:rsid w:val="00C716DF"/>
    <w:rsid w:val="00C906CD"/>
    <w:rsid w:val="00C94D72"/>
    <w:rsid w:val="00CA44B7"/>
    <w:rsid w:val="00CA5D0C"/>
    <w:rsid w:val="00CD0F7A"/>
    <w:rsid w:val="00CD344F"/>
    <w:rsid w:val="00CF384C"/>
    <w:rsid w:val="00D014BD"/>
    <w:rsid w:val="00D11E7B"/>
    <w:rsid w:val="00D1484B"/>
    <w:rsid w:val="00D179DF"/>
    <w:rsid w:val="00D33AD0"/>
    <w:rsid w:val="00D4740A"/>
    <w:rsid w:val="00D5013E"/>
    <w:rsid w:val="00D50F38"/>
    <w:rsid w:val="00D51FA8"/>
    <w:rsid w:val="00D52EA8"/>
    <w:rsid w:val="00D533D8"/>
    <w:rsid w:val="00D65806"/>
    <w:rsid w:val="00D72C55"/>
    <w:rsid w:val="00D81529"/>
    <w:rsid w:val="00D91AC4"/>
    <w:rsid w:val="00DD3BA2"/>
    <w:rsid w:val="00DF1565"/>
    <w:rsid w:val="00E17256"/>
    <w:rsid w:val="00E21552"/>
    <w:rsid w:val="00E22D24"/>
    <w:rsid w:val="00E26DDB"/>
    <w:rsid w:val="00E3566D"/>
    <w:rsid w:val="00E417D0"/>
    <w:rsid w:val="00E43F83"/>
    <w:rsid w:val="00E54530"/>
    <w:rsid w:val="00E5690F"/>
    <w:rsid w:val="00E60FE3"/>
    <w:rsid w:val="00E6627B"/>
    <w:rsid w:val="00E6631B"/>
    <w:rsid w:val="00E7636B"/>
    <w:rsid w:val="00E7686E"/>
    <w:rsid w:val="00E91663"/>
    <w:rsid w:val="00E918EE"/>
    <w:rsid w:val="00E91AC4"/>
    <w:rsid w:val="00E9564D"/>
    <w:rsid w:val="00EB2819"/>
    <w:rsid w:val="00EB4367"/>
    <w:rsid w:val="00EB63FC"/>
    <w:rsid w:val="00EC0F30"/>
    <w:rsid w:val="00EC1164"/>
    <w:rsid w:val="00EC20AE"/>
    <w:rsid w:val="00EC2B9A"/>
    <w:rsid w:val="00EC4572"/>
    <w:rsid w:val="00EC6ABE"/>
    <w:rsid w:val="00ED23B5"/>
    <w:rsid w:val="00ED2487"/>
    <w:rsid w:val="00ED540F"/>
    <w:rsid w:val="00EE483C"/>
    <w:rsid w:val="00EF1E9F"/>
    <w:rsid w:val="00EF3B66"/>
    <w:rsid w:val="00F02E01"/>
    <w:rsid w:val="00F103B2"/>
    <w:rsid w:val="00F12096"/>
    <w:rsid w:val="00F15F4A"/>
    <w:rsid w:val="00F20C77"/>
    <w:rsid w:val="00F41081"/>
    <w:rsid w:val="00F56E88"/>
    <w:rsid w:val="00F570DE"/>
    <w:rsid w:val="00F6286B"/>
    <w:rsid w:val="00F660BD"/>
    <w:rsid w:val="00F6788B"/>
    <w:rsid w:val="00F74D08"/>
    <w:rsid w:val="00FA4DDE"/>
    <w:rsid w:val="00FB2B4E"/>
    <w:rsid w:val="00FB5470"/>
    <w:rsid w:val="00FB54B7"/>
    <w:rsid w:val="00FC0E73"/>
    <w:rsid w:val="00FC6132"/>
    <w:rsid w:val="00FD1C34"/>
    <w:rsid w:val="00FD5A4F"/>
    <w:rsid w:val="00FE40A6"/>
    <w:rsid w:val="00FF1100"/>
    <w:rsid w:val="00FF6D04"/>
    <w:rsid w:val="023B0973"/>
    <w:rsid w:val="031418F0"/>
    <w:rsid w:val="05C869C2"/>
    <w:rsid w:val="0855058A"/>
    <w:rsid w:val="09AA11B3"/>
    <w:rsid w:val="09AF5BE6"/>
    <w:rsid w:val="0D963232"/>
    <w:rsid w:val="0E3176E6"/>
    <w:rsid w:val="263B71BF"/>
    <w:rsid w:val="2A574CBB"/>
    <w:rsid w:val="2C971491"/>
    <w:rsid w:val="2DFF5C06"/>
    <w:rsid w:val="38226E32"/>
    <w:rsid w:val="3C061922"/>
    <w:rsid w:val="3D5D0969"/>
    <w:rsid w:val="3EB5160E"/>
    <w:rsid w:val="437D3853"/>
    <w:rsid w:val="48472425"/>
    <w:rsid w:val="4CD34FFD"/>
    <w:rsid w:val="4D4724FE"/>
    <w:rsid w:val="51D85332"/>
    <w:rsid w:val="5EA71BFC"/>
    <w:rsid w:val="607B5D1F"/>
    <w:rsid w:val="60DD7EBC"/>
    <w:rsid w:val="61A54544"/>
    <w:rsid w:val="61C93F36"/>
    <w:rsid w:val="625C6580"/>
    <w:rsid w:val="6283357C"/>
    <w:rsid w:val="65FB49E1"/>
    <w:rsid w:val="67DC5256"/>
    <w:rsid w:val="687051D2"/>
    <w:rsid w:val="6895604D"/>
    <w:rsid w:val="6B3C2288"/>
    <w:rsid w:val="71CB5E83"/>
    <w:rsid w:val="728F3D2C"/>
    <w:rsid w:val="74394FB6"/>
    <w:rsid w:val="7BE01E7B"/>
    <w:rsid w:val="7DC714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outlineLvl w:val="2"/>
    </w:pPr>
    <w:rPr>
      <w:rFonts w:ascii="楷体_GB2312" w:hAnsi="宋体" w:eastAsia="黑体"/>
      <w:b/>
      <w:bCs/>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Cs w:val="20"/>
    </w:rPr>
  </w:style>
  <w:style w:type="paragraph" w:styleId="3">
    <w:name w:val="Body Text Indent"/>
    <w:basedOn w:val="1"/>
    <w:qFormat/>
    <w:uiPriority w:val="99"/>
    <w:pPr>
      <w:spacing w:line="360" w:lineRule="auto"/>
      <w:ind w:firstLine="570"/>
    </w:pPr>
  </w:style>
  <w:style w:type="paragraph" w:styleId="6">
    <w:name w:val="annotation text"/>
    <w:basedOn w:val="1"/>
    <w:link w:val="26"/>
    <w:unhideWhenUsed/>
    <w:qFormat/>
    <w:uiPriority w:val="0"/>
    <w:pPr>
      <w:jc w:val="left"/>
    </w:pPr>
  </w:style>
  <w:style w:type="paragraph" w:styleId="7">
    <w:name w:val="Body Text 3"/>
    <w:basedOn w:val="1"/>
    <w:link w:val="36"/>
    <w:semiHidden/>
    <w:unhideWhenUsed/>
    <w:qFormat/>
    <w:uiPriority w:val="99"/>
    <w:pPr>
      <w:spacing w:after="120"/>
    </w:pPr>
    <w:rPr>
      <w:sz w:val="16"/>
      <w:szCs w:val="16"/>
    </w:rPr>
  </w:style>
  <w:style w:type="paragraph" w:styleId="8">
    <w:name w:val="Plain Text"/>
    <w:basedOn w:val="1"/>
    <w:qFormat/>
    <w:uiPriority w:val="99"/>
    <w:rPr>
      <w:rFonts w:ascii="宋体" w:hAnsi="Courier New" w:cs="Times New Roman"/>
      <w:szCs w:val="20"/>
    </w:rPr>
  </w:style>
  <w:style w:type="paragraph" w:styleId="9">
    <w:name w:val="Balloon Text"/>
    <w:basedOn w:val="1"/>
    <w:link w:val="23"/>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6"/>
    <w:next w:val="6"/>
    <w:link w:val="27"/>
    <w:semiHidden/>
    <w:unhideWhenUsed/>
    <w:qFormat/>
    <w:uiPriority w:val="99"/>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954F72" w:themeColor="followedHyperlink"/>
      <w:u w:val="single"/>
    </w:rPr>
  </w:style>
  <w:style w:type="character" w:styleId="19">
    <w:name w:val="Hyperlink"/>
    <w:basedOn w:val="16"/>
    <w:unhideWhenUsed/>
    <w:qFormat/>
    <w:uiPriority w:val="99"/>
    <w:rPr>
      <w:color w:val="0563C1" w:themeColor="hyperlink"/>
      <w:u w:val="single"/>
    </w:rPr>
  </w:style>
  <w:style w:type="character" w:styleId="20">
    <w:name w:val="annotation reference"/>
    <w:basedOn w:val="16"/>
    <w:semiHidden/>
    <w:unhideWhenUsed/>
    <w:qFormat/>
    <w:uiPriority w:val="99"/>
    <w:rPr>
      <w:sz w:val="21"/>
      <w:szCs w:val="21"/>
    </w:rPr>
  </w:style>
  <w:style w:type="character" w:customStyle="1" w:styleId="21">
    <w:name w:val="页眉 Char"/>
    <w:basedOn w:val="16"/>
    <w:link w:val="11"/>
    <w:qFormat/>
    <w:uiPriority w:val="99"/>
    <w:rPr>
      <w:sz w:val="18"/>
      <w:szCs w:val="18"/>
    </w:rPr>
  </w:style>
  <w:style w:type="character" w:customStyle="1" w:styleId="22">
    <w:name w:val="页脚 Char"/>
    <w:basedOn w:val="16"/>
    <w:link w:val="10"/>
    <w:qFormat/>
    <w:uiPriority w:val="99"/>
    <w:rPr>
      <w:sz w:val="18"/>
      <w:szCs w:val="18"/>
    </w:rPr>
  </w:style>
  <w:style w:type="character" w:customStyle="1" w:styleId="23">
    <w:name w:val="批注框文本 Char"/>
    <w:basedOn w:val="16"/>
    <w:link w:val="9"/>
    <w:semiHidden/>
    <w:qFormat/>
    <w:uiPriority w:val="99"/>
    <w:rPr>
      <w:sz w:val="18"/>
      <w:szCs w:val="18"/>
    </w:rPr>
  </w:style>
  <w:style w:type="paragraph" w:styleId="24">
    <w:name w:val="List Paragraph"/>
    <w:basedOn w:val="1"/>
    <w:qFormat/>
    <w:uiPriority w:val="99"/>
    <w:pPr>
      <w:ind w:firstLine="420" w:firstLineChars="200"/>
    </w:pPr>
    <w:rPr>
      <w:rFonts w:eastAsia="黑体"/>
      <w:bCs/>
      <w:sz w:val="30"/>
      <w:szCs w:val="30"/>
    </w:rPr>
  </w:style>
  <w:style w:type="paragraph" w:customStyle="1" w:styleId="25">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6">
    <w:name w:val="批注文字 Char"/>
    <w:basedOn w:val="16"/>
    <w:link w:val="6"/>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13"/>
    <w:semiHidden/>
    <w:qFormat/>
    <w:uiPriority w:val="99"/>
    <w:rPr>
      <w:rFonts w:asciiTheme="minorHAnsi" w:hAnsiTheme="minorHAnsi" w:eastAsiaTheme="minorEastAsia" w:cstheme="minorBidi"/>
      <w:b/>
      <w:bCs/>
      <w:kern w:val="2"/>
      <w:sz w:val="21"/>
      <w:szCs w:val="24"/>
    </w:rPr>
  </w:style>
  <w:style w:type="character" w:customStyle="1" w:styleId="28">
    <w:name w:val="标题 1 Char"/>
    <w:basedOn w:val="16"/>
    <w:link w:val="4"/>
    <w:qFormat/>
    <w:uiPriority w:val="9"/>
    <w:rPr>
      <w:rFonts w:asciiTheme="minorHAnsi" w:hAnsiTheme="minorHAnsi" w:eastAsiaTheme="minorEastAsia" w:cstheme="minorBidi"/>
      <w:b/>
      <w:bCs/>
      <w:kern w:val="44"/>
      <w:sz w:val="44"/>
      <w:szCs w:val="44"/>
    </w:rPr>
  </w:style>
  <w:style w:type="character" w:customStyle="1" w:styleId="29">
    <w:name w:val="未处理的提及1"/>
    <w:basedOn w:val="16"/>
    <w:semiHidden/>
    <w:unhideWhenUsed/>
    <w:qFormat/>
    <w:uiPriority w:val="99"/>
    <w:rPr>
      <w:color w:val="605E5C"/>
      <w:shd w:val="clear" w:color="auto" w:fill="E1DFDD"/>
    </w:rPr>
  </w:style>
  <w:style w:type="paragraph" w:customStyle="1" w:styleId="30">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1">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32">
    <w:name w:val="样式2"/>
    <w:basedOn w:val="1"/>
    <w:qFormat/>
    <w:uiPriority w:val="99"/>
    <w:pPr>
      <w:spacing w:line="300" w:lineRule="auto"/>
      <w:jc w:val="center"/>
      <w:outlineLvl w:val="0"/>
    </w:pPr>
    <w:rPr>
      <w:rFonts w:ascii="宋体" w:hAnsi="Times New Roman" w:cs="Times New Roman"/>
      <w:b/>
      <w:szCs w:val="20"/>
    </w:rPr>
  </w:style>
  <w:style w:type="paragraph" w:customStyle="1" w:styleId="33">
    <w:name w:val="列出段落1"/>
    <w:basedOn w:val="1"/>
    <w:qFormat/>
    <w:uiPriority w:val="99"/>
    <w:pPr>
      <w:ind w:firstLine="420" w:firstLineChars="200"/>
    </w:pPr>
  </w:style>
  <w:style w:type="paragraph" w:customStyle="1" w:styleId="34">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6">
    <w:name w:val="正文文本 3 Char"/>
    <w:basedOn w:val="16"/>
    <w:link w:val="7"/>
    <w:semiHidden/>
    <w:qFormat/>
    <w:uiPriority w:val="99"/>
    <w:rPr>
      <w:rFonts w:asciiTheme="minorHAnsi" w:hAnsiTheme="minorHAnsi" w:eastAsiaTheme="minorEastAsia" w:cstheme="minorBidi"/>
      <w:kern w:val="2"/>
      <w:sz w:val="16"/>
      <w:szCs w:val="16"/>
    </w:rPr>
  </w:style>
  <w:style w:type="paragraph" w:customStyle="1" w:styleId="37">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SMET</Company>
  <Pages>7</Pages>
  <Words>3485</Words>
  <Characters>3719</Characters>
  <Lines>27</Lines>
  <Paragraphs>7</Paragraphs>
  <TotalTime>3</TotalTime>
  <ScaleCrop>false</ScaleCrop>
  <LinksUpToDate>false</LinksUpToDate>
  <CharactersWithSpaces>3745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2025-10-20T06:17:00Z</dcterms:created>
  <dc:creator>River</dc:creator>
  <cp:lastModifiedBy>林琳</cp:lastModifiedBy>
  <cp:lastPrinted>2021-08-04T06:09:00Z</cp:lastPrinted>
  <dcterms:modified xsi:type="dcterms:W3CDTF">2026-06-16T04:29:15Z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9B90D09EC3F94F958BF3BDFF532CFE92_13</vt:lpwstr>
  </property>
  <property fmtid="{D5CDD505-2E9C-101B-9397-08002B2CF9AE}" pid="4" name="KSOTemplateDocerSaveRecord">
    <vt:lpwstr>eyJoZGlkIjoiZmMyYTJlZWEyYTYwNWI0M2FiY2YwY2Q2NDgxYzA3ZTMiLCJ1c2VySWQiOiIxNTcyMTY0ODY3In0=</vt:lpwstr>
  </property>
</Properties>
</file>